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b/>
        </w:rPr>
        <w:t>Пояснительная записка</w:t>
      </w:r>
    </w:p>
    <w:p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7 декабря 2022 года № 84» (далее - проект)</w:t>
      </w:r>
    </w:p>
    <w:p>
      <w:pPr>
        <w:jc w:val="both"/>
      </w:pPr>
    </w:p>
    <w:p>
      <w:pPr>
        <w:ind w:firstLine="709"/>
        <w:jc w:val="both"/>
      </w:pPr>
      <w:r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17 февраля 2022 года № 6), на основании:</w:t>
      </w:r>
    </w:p>
    <w:p>
      <w:pPr>
        <w:ind w:firstLine="709"/>
        <w:jc w:val="both"/>
        <w:rPr>
          <w:bCs/>
        </w:rPr>
      </w:pPr>
      <w:r>
        <w:rPr>
          <w:bCs/>
        </w:rPr>
        <w:t>- п</w:t>
      </w:r>
      <w:r>
        <w:t>риказа Минфина России от 24 мая 2022 года № 82н «О Порядке формирования и применения кодов бюджетной классификации Российской Федерации, их структуре и принципах назначения» (ред. от 18 ноября 2022 года № 176н);</w:t>
      </w:r>
    </w:p>
    <w:p>
      <w:pPr>
        <w:ind w:firstLine="709"/>
        <w:jc w:val="both"/>
      </w:pPr>
      <w:r>
        <w:rPr>
          <w:bCs/>
        </w:rPr>
        <w:t>- приказа Департамента финансов Ханты-Мансийского автономного округа – Югры от 26 декабря 2022 года № 26-нп «О порядке определения перечня и кодов целевых статей</w:t>
      </w:r>
      <w:r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- Югры, на 2023-2025 годы»;</w:t>
      </w:r>
    </w:p>
    <w:p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2023 год и плановый период 2024 и 2025 годов.</w:t>
      </w:r>
      <w:r>
        <w:rPr>
          <w:color w:val="000000"/>
        </w:rPr>
        <w:t xml:space="preserve">  </w:t>
      </w:r>
    </w:p>
    <w:p>
      <w:pPr>
        <w:ind w:firstLine="540"/>
        <w:jc w:val="both"/>
        <w:rPr>
          <w:color w:val="000000"/>
        </w:rPr>
      </w:pPr>
    </w:p>
    <w:p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>
      <w:pPr>
        <w:ind w:firstLine="709"/>
        <w:jc w:val="both"/>
        <w:rPr>
          <w:b/>
          <w:color w:val="000000"/>
          <w:u w:val="single"/>
        </w:rPr>
      </w:pPr>
    </w:p>
    <w:p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 пункта 1 уточнены параметры бюджета Белоярского района на 2023 год, в том числе: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прогнозируемый общий объем доходов бюджета района в сумме 5 261 581 135,93 рублей, в    том    числе    безвозмездные    поступления    в    сумме  4 296 124</w:t>
      </w:r>
      <w:r>
        <w:rPr>
          <w:color w:val="000000"/>
          <w:lang w:val="en-US"/>
        </w:rPr>
        <w:t> </w:t>
      </w:r>
      <w:r>
        <w:rPr>
          <w:color w:val="000000"/>
        </w:rPr>
        <w:t>533,88  рубля согласно приложению 1 к настоящему решению;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общий объем расходов бюджета района в сумме 5 322 903 681,87 рубль;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прогнозируемый дефицит бюджета района в сумме 61 322 545,94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верхний предел муниципального внутреннего долга района на 1 января 2024 года в сумме 273 002 207,00 рублей, в том числе верхний предел долга по муниципальным гарантиям района в валюте Российской Федерации - 0,00 рублей, согласно приложению 2 к настоящему решению;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объем расходов на обслуживание муниципального долга района на 2023 год в сумме 164 900,00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2)  подпунктом 2 пункта 1 уточнены параметры бюджета Белоярского района на плановый период 2024 и 2025 годов, в том числе: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прогнозируемый общий объем доходов бюджета района на 2024 год в сумме                      4 084 831 200,00 рублей и на 2025 год в сумме 3 455 443 500,00 рублей, в том числе безвозмездные поступления на 2024 год в сумме 3 281 526 400,00 рублей и на 2025 год в сумме 2 628 384 900,00 рублей, согласно приложению 3 к настоящему решению;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общий объем расходов бюджета района на 2024 год в сумме 4 152 526 800,00 рублей, в том числе условно утверждаемые расходы в сумме 34 409 900,00 рублей и на 2025 год в сумме 3 524 806 800,00 рублей, в том числе условно утверждаемые расходы в сумме                      71 556 500,00 рублей;";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3) подпунктом 3 пункта 1 уточнен общий объем дотаций бюджету района на 2023 год в сумме 726 433 000,00 рублей, в том числе объем дотации на выравнивание бюджетной обеспеченности муниципальных районов (городских округов) в сумме 587 289 600,00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4)</w:t>
      </w:r>
      <w:r>
        <w:t xml:space="preserve"> </w:t>
      </w:r>
      <w:r>
        <w:rPr>
          <w:color w:val="000000"/>
        </w:rPr>
        <w:t>подпунктом 4 пункта 1 уточнен объем субсидий на 2023 год в сумме                                               1 388 796 796,14 рублей, на 2024 год в сумме 788 361 400,00 рублей и на 2025 год в сумме                146 535 100,00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5) подпунктом 5 пункта 1 уточнен объем субвенций на 2023 год в сумме                                             1 751 397 300,00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6) подпунктом 6 пункта 1 уточнен объем иных межбюджетных трансфертов бюджету района на 2023 год в сумме 384 970 579,71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184 426 144,34 рубля;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7) подпунктом 7 пункта 1 уточнен объем бюджетных ассигнований муниципального дорожного фонда Белоярского района: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>
        <w:t xml:space="preserve"> </w:t>
      </w:r>
      <w:r>
        <w:rPr>
          <w:color w:val="000000"/>
        </w:rPr>
        <w:t>на 2023 год в сумме 90 861 195,57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 53 291 954,34 рубля;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на 2024 год в сумме 80 665 700,00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49 900 900,00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на 2025 год в сумме 70 134 800,00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52 770 000,00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8) подпунктом 8 пункта 1 уточнен объем бюджетных ассигнований, иным образом зарезервированных, в сумме 30 128 150,96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9) подпунктом 9 пункта 1 уточнен объем бюджетных ассигнований на исполнение публичных нормативных обязательств на 2023 год в сумме 4 964 865,00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10) подпунктом 10 пункта 1 уточнен объем межбюджетных трансфертов бюджетам поселений Белоярского района на 2023 год в сумме 316 326 037,50 рублей;</w:t>
      </w:r>
    </w:p>
    <w:p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11)</w:t>
      </w:r>
      <w:r>
        <w:t xml:space="preserve"> </w:t>
      </w:r>
      <w:r>
        <w:rPr>
          <w:color w:val="000000"/>
        </w:rPr>
        <w:t>подпунктом 11  пункта 1 определен получатель субсидии юридическим лицам, являющимся специализированными службами по вопросам похоронного дела,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– муниципальное унитарное предприятие Белоярского района "Бюро ритуальных услуг".</w:t>
      </w:r>
    </w:p>
    <w:p>
      <w:pPr>
        <w:ind w:firstLine="709"/>
        <w:jc w:val="both"/>
      </w:pPr>
    </w:p>
    <w:p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2023 год и плановый период 2024 и 2025 годов:</w:t>
      </w:r>
    </w:p>
    <w:p>
      <w:pPr>
        <w:ind w:firstLine="709"/>
        <w:jc w:val="right"/>
      </w:pPr>
      <w:r>
        <w:t>(рублей)</w:t>
      </w:r>
    </w:p>
    <w:tbl>
      <w:tblPr>
        <w:tblStyle w:val="16"/>
        <w:tblW w:w="10038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764"/>
        <w:gridCol w:w="1755"/>
        <w:gridCol w:w="1812"/>
        <w:gridCol w:w="1764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</w:tcPr>
          <w:p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il"/>
            </w:tcBorders>
          </w:tcPr>
          <w:p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  Утверждено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Уточненные параметры бюджета</w:t>
            </w:r>
          </w:p>
        </w:tc>
        <w:tc>
          <w:tcPr>
            <w:tcW w:w="1764" w:type="dxa"/>
          </w:tcPr>
          <w:p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Утверждено</w:t>
            </w:r>
          </w:p>
        </w:tc>
        <w:tc>
          <w:tcPr>
            <w:tcW w:w="1869" w:type="dxa"/>
          </w:tcPr>
          <w:p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  <w:p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5 069 849 762,25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191 731 373,68</w:t>
            </w:r>
          </w:p>
        </w:tc>
        <w:tc>
          <w:tcPr>
            <w:tcW w:w="1812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5 261 581 135,93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4 084 831 200,00</w:t>
            </w:r>
          </w:p>
        </w:tc>
        <w:tc>
          <w:tcPr>
            <w:tcW w:w="1869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3 455 443 500,00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5 346 172 308,19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- 23 268 626,32</w:t>
            </w:r>
          </w:p>
        </w:tc>
        <w:tc>
          <w:tcPr>
            <w:tcW w:w="1812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5 322 903 681,87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4 152 526 800,00</w:t>
            </w:r>
          </w:p>
        </w:tc>
        <w:tc>
          <w:tcPr>
            <w:tcW w:w="1869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3 524 806 800,00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276 322 545,94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- 215 000 000,00</w:t>
            </w:r>
          </w:p>
        </w:tc>
        <w:tc>
          <w:tcPr>
            <w:tcW w:w="1812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61 322 545,94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67 695 600,00</w:t>
            </w:r>
          </w:p>
        </w:tc>
        <w:tc>
          <w:tcPr>
            <w:tcW w:w="1869" w:type="dxa"/>
          </w:tcPr>
          <w:p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69 363 300,00</w:t>
            </w:r>
          </w:p>
        </w:tc>
      </w:tr>
    </w:tbl>
    <w:p>
      <w:pPr>
        <w:ind w:firstLine="709"/>
        <w:jc w:val="both"/>
        <w:rPr>
          <w:color w:val="000000"/>
          <w:highlight w:val="yellow"/>
          <w:shd w:val="clear" w:color="auto" w:fill="FFFF00"/>
        </w:rPr>
      </w:pPr>
    </w:p>
    <w:p>
      <w:pPr>
        <w:jc w:val="both"/>
        <w:rPr>
          <w:color w:val="000000"/>
          <w:highlight w:val="yellow"/>
          <w:shd w:val="clear" w:color="auto" w:fill="FFFF00"/>
        </w:rPr>
      </w:pPr>
    </w:p>
    <w:p>
      <w:pPr>
        <w:ind w:firstLine="709"/>
        <w:jc w:val="both"/>
      </w:pPr>
      <w:r>
        <w:t>Проектом предлагается направить на уменьшение дефицита бюджета 215 000 000,00 рублей. В результате уменьшения дефицит бюджета на 2023 год составит 61 322 545,94 рублей.</w:t>
      </w:r>
    </w:p>
    <w:p>
      <w:pPr>
        <w:ind w:firstLine="709"/>
        <w:jc w:val="both"/>
      </w:pPr>
      <w:r>
        <w:t>Утвержденный размер дефицита бюджета района на плановый период 2024 и 2025 годов остался без изменений и не превышает ограничения, установленные статьей 92.1 БК РФ.</w:t>
      </w:r>
    </w:p>
    <w:p>
      <w:pPr>
        <w:ind w:firstLine="709"/>
        <w:jc w:val="both"/>
      </w:pPr>
      <w:r>
        <w:t xml:space="preserve">Проектом внесены изменения в объём бюджетных ассигнований муниципального дорожного фонда района на 2023 год и 2025 год, который предлагается утвердить в сумме 90 861 195,57 рублей на 2023 год и в сумме 70 134 800,00 рублей на 2025 год. Увеличение на 2023 год составило 2 197 460,00 рублей за счет уточнения плановых показателей по налогам на товары (работы, услуги), реализуемые на территории Российской Федерации (акцизы на нефтепродукты) в сумме 2 037 460,00 рублей  и транспортному налогу в сумме 160 000,00 рублей. Уменьшение на 2025 год    составило 14 500 000,00 рублей в соответствии с корректировкой лимитов бюджетных обязательств из бюджета автономного округа по субсидии на строительство (реконструкция), капитальный ремонт и ремонт автомобильных дорог общего пользования местного значения (приложение к настоящей пояснительной записке).    </w:t>
      </w:r>
    </w:p>
    <w:p>
      <w:pPr>
        <w:ind w:firstLine="709"/>
        <w:jc w:val="both"/>
      </w:pPr>
    </w:p>
    <w:p>
      <w:pPr>
        <w:jc w:val="center"/>
        <w:rPr>
          <w:b/>
        </w:rPr>
      </w:pPr>
      <w:r>
        <w:rPr>
          <w:b/>
        </w:rPr>
        <w:t>ДОХОДЫ</w:t>
      </w:r>
    </w:p>
    <w:p>
      <w:pPr>
        <w:ind w:firstLine="709"/>
        <w:jc w:val="both"/>
      </w:pPr>
    </w:p>
    <w:p>
      <w:pPr>
        <w:ind w:firstLine="709"/>
        <w:jc w:val="both"/>
      </w:pPr>
      <w:r>
        <w:t xml:space="preserve">Доходы бюджета Белоярского района предлагается </w:t>
      </w:r>
      <w:r>
        <w:rPr>
          <w:b/>
        </w:rPr>
        <w:t xml:space="preserve">увеличить на сумму 191 731 373,68 рубля,  </w:t>
      </w:r>
      <w:r>
        <w:t>в том числе путем:</w:t>
      </w:r>
    </w:p>
    <w:p>
      <w:pPr>
        <w:ind w:firstLine="709"/>
        <w:jc w:val="both"/>
      </w:pPr>
    </w:p>
    <w:p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налоговых и неналоговых доходов в сумме 33 251 471,52 рубль за счет:</w:t>
      </w:r>
    </w:p>
    <w:p>
      <w:pPr>
        <w:pStyle w:val="25"/>
        <w:numPr>
          <w:ilvl w:val="0"/>
          <w:numId w:val="3"/>
        </w:numPr>
        <w:ind w:left="0" w:firstLine="720"/>
        <w:jc w:val="both"/>
        <w:rPr>
          <w:bCs/>
        </w:rPr>
      </w:pPr>
      <w:r>
        <w:rPr>
          <w:b/>
        </w:rPr>
        <w:t xml:space="preserve">увеличения </w:t>
      </w:r>
      <w:r>
        <w:t>плановых показателей по КБК 000 101 02000 01 0000 110</w:t>
      </w:r>
      <w:r>
        <w:rPr>
          <w:rFonts w:hint="eastAsia" w:ascii="SimSun" w:hAnsi="SimSun" w:eastAsia="SimSun"/>
        </w:rPr>
        <w:t xml:space="preserve"> </w:t>
      </w:r>
      <w:r>
        <w:t xml:space="preserve">«Налог на доходы физических лиц» </w:t>
      </w:r>
      <w:r>
        <w:rPr>
          <w:b/>
        </w:rPr>
        <w:t xml:space="preserve">в сумме 36 445 078,00 рублей, </w:t>
      </w:r>
      <w:r>
        <w:rPr>
          <w:bCs/>
        </w:rPr>
        <w:t>в связи с ростом фонда оплаты труда работников организаций, осуществляющих деятельность на территории Белоярского района;</w:t>
      </w:r>
    </w:p>
    <w:p>
      <w:pPr>
        <w:numPr>
          <w:ilvl w:val="0"/>
          <w:numId w:val="3"/>
        </w:numPr>
        <w:ind w:firstLine="720"/>
        <w:jc w:val="both"/>
      </w:pPr>
      <w:r>
        <w:rPr>
          <w:b/>
        </w:rPr>
        <w:t>увеличения</w:t>
      </w:r>
      <w:r>
        <w:t xml:space="preserve"> плановых назначений по КБК 000 103 02000 01 0000 110 «Акцизы по подакцизным товарам (продукции), производимым на территории Российской Федерации» </w:t>
      </w:r>
      <w:r>
        <w:rPr>
          <w:b/>
        </w:rPr>
        <w:t>в сумме 2 037 460,00 рублей</w:t>
      </w:r>
      <w:r>
        <w:t xml:space="preserve"> (корректировка плановых показателей произведена главным администратором доходов Межрайонной ИФНС № 7 по ХМАО-Югре по фактическому поступлению данного вида доходов в бюджет района);</w:t>
      </w:r>
    </w:p>
    <w:p>
      <w:pPr>
        <w:pStyle w:val="25"/>
        <w:numPr>
          <w:ilvl w:val="0"/>
          <w:numId w:val="3"/>
        </w:numPr>
        <w:ind w:left="0" w:firstLine="709"/>
        <w:jc w:val="both"/>
      </w:pPr>
      <w:r>
        <w:rPr>
          <w:b/>
        </w:rPr>
        <w:t xml:space="preserve">уменьшения </w:t>
      </w:r>
      <w:r>
        <w:t xml:space="preserve">плановых показателей по КБК 000 1 05 00000 00 0000 000 «Налоги на совокупный доход» </w:t>
      </w:r>
      <w:r>
        <w:rPr>
          <w:b/>
        </w:rPr>
        <w:t>в сумме минус 10 097 720,00 рублей,</w:t>
      </w:r>
      <w:r>
        <w:t xml:space="preserve"> в связи с вступлением в силу Федерального закона  от 31 июля 2023 года № 389-ФЗ, согласно которому налогоплательщики, применяющие упрощенную систему налогообложения и выбравшие в качестве объекта налогообложения доходы, и налогоплательщики, применяющие патентную систему налогообложения, вправе уменьшить сумму налога (авансовых платежей по налогу), исчисленную за налоговый (отчетный) период, на сумму страховых взносов на обязательное пенсионное страхование и на обязательное медицинское страхование, подлежащую уплате в данном налоговом периоде в соответствии со статьей 430 НК РФ без необходимости их фактической уплаты на момент такого уменьшения;</w:t>
      </w:r>
    </w:p>
    <w:p>
      <w:pPr>
        <w:numPr>
          <w:ilvl w:val="0"/>
          <w:numId w:val="3"/>
        </w:numPr>
        <w:ind w:firstLine="720"/>
        <w:jc w:val="both"/>
      </w:pPr>
      <w:r>
        <w:t xml:space="preserve"> </w:t>
      </w:r>
      <w:r>
        <w:rPr>
          <w:b/>
        </w:rPr>
        <w:t>увеличения</w:t>
      </w:r>
      <w:r>
        <w:t xml:space="preserve"> плановых показателей по КБК 000 106 04012 02 0000 110 «Транспортный налог с физических лиц» </w:t>
      </w:r>
      <w:r>
        <w:rPr>
          <w:b/>
        </w:rPr>
        <w:t>в сумме 160 000,00 рублей</w:t>
      </w:r>
      <w:r>
        <w:t xml:space="preserve"> (корректировка плановых показателей произведена главным администратором доходов Межрайонной ИФНС № 7 по ХМАО-Югре по фактическому поступлению данного вида доходов в бюджет поселения);</w:t>
      </w:r>
    </w:p>
    <w:p>
      <w:pPr>
        <w:pStyle w:val="25"/>
        <w:numPr>
          <w:ilvl w:val="0"/>
          <w:numId w:val="3"/>
        </w:numPr>
        <w:ind w:left="0" w:firstLine="720"/>
        <w:jc w:val="both"/>
      </w:pPr>
      <w:r>
        <w:rPr>
          <w:b/>
          <w:bCs/>
        </w:rPr>
        <w:t>увеличения</w:t>
      </w:r>
      <w:r>
        <w:t xml:space="preserve"> плановых показателей по КБК 000 108 03010 01 0000 110    «Государственная пошлина по делам, рассматриваемым в судах общей юрисдикции, мировыми судьями (за исключением Верховного Суда Российской Федерации)» </w:t>
      </w:r>
      <w:r>
        <w:rPr>
          <w:b/>
          <w:bCs/>
        </w:rPr>
        <w:t>в сумме  1 300 000,00 рублей</w:t>
      </w:r>
      <w:r>
        <w:t>, в связи с увеличением поступлений по государственной пошлине по делам, рассматриваемым в судах общей юрисдикции;</w:t>
      </w:r>
    </w:p>
    <w:p>
      <w:pPr>
        <w:numPr>
          <w:ilvl w:val="0"/>
          <w:numId w:val="3"/>
        </w:numPr>
        <w:ind w:left="9" w:firstLine="709"/>
        <w:jc w:val="both"/>
      </w:pPr>
      <w:r>
        <w:rPr>
          <w:b/>
        </w:rPr>
        <w:t>уменьшения</w:t>
      </w:r>
      <w:r>
        <w:t xml:space="preserve"> плановых показателей по КБК 000 111 00000 00 0000 000 «Доходы от использования имущества, находящегося в государственной и муниципальной собственности» </w:t>
      </w:r>
      <w:r>
        <w:rPr>
          <w:b/>
        </w:rPr>
        <w:t>в сумме минус 2 358 782,67 рубля</w:t>
      </w:r>
      <w:r>
        <w:t>, в том числе за счет:</w:t>
      </w:r>
    </w:p>
    <w:p>
      <w:pPr>
        <w:ind w:firstLine="851"/>
        <w:jc w:val="both"/>
      </w:pPr>
      <w:r>
        <w:t xml:space="preserve">- увеличения плановых показателей  по КБК 000 111 03050 05 0000 120 «Проценты, полученные от предоставления бюджетных кредитов внутри страны за счет средств бюджетов муниципальных районов» </w:t>
      </w:r>
      <w:r>
        <w:rPr>
          <w:b/>
        </w:rPr>
        <w:t>в сумме 21 163,38 рубля</w:t>
      </w:r>
      <w:r>
        <w:t xml:space="preserve">, в связи с внесением  изменений в график гашения задолженности по агентскому договору, заключенному между администрацией Белоярского района и УМП «Управление производственно - технической комплектации», на проведение мероприятий по осуществлению досрочного завоза продукции (товаров) в связи с ограниченными сроками доставки за 2022 год, путем продления сроков уплаты долга до 1 октября 2023 года; </w:t>
      </w:r>
    </w:p>
    <w:p>
      <w:pPr>
        <w:ind w:firstLine="851"/>
        <w:jc w:val="both"/>
      </w:pPr>
      <w:r>
        <w:t xml:space="preserve">- увеличения плановых показателей  по КБК 000 111 05010 00 0000 120 «Доходы,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участков» </w:t>
      </w:r>
      <w:r>
        <w:rPr>
          <w:b/>
        </w:rPr>
        <w:t>в сумме 3 527 016,00 рублей</w:t>
      </w:r>
      <w:r>
        <w:t>,  в связи с заключением в конце 2022 года -начале 2023 года новых договоров аренды земельных участков и погашением арендаторами задолженности прошлых лет в результате проведенной претензионно-исковой работы;</w:t>
      </w:r>
    </w:p>
    <w:p>
      <w:pPr>
        <w:ind w:firstLine="851"/>
        <w:jc w:val="both"/>
      </w:pPr>
      <w:r>
        <w:t xml:space="preserve">- уменьшения плановых показателей  по КБК 000 111 05075 05 0000 120 «Доходы от сдачи в аренду имущества, составляющего казну муниципальных районов (за исключением земельных участков)» </w:t>
      </w:r>
      <w:r>
        <w:rPr>
          <w:b/>
        </w:rPr>
        <w:t>в сумме минус 6 747 991,00 рублей</w:t>
      </w:r>
      <w:r>
        <w:t>,  в связи с частичным выполнением арендатором своих обязательств по погашению задолженности прошлых лет по договорам аренды муниципального имущества, в результате проведенной претензионно-исковой работы из-за финансовых трудностей предприятия;</w:t>
      </w:r>
    </w:p>
    <w:p>
      <w:pPr>
        <w:ind w:firstLine="851"/>
        <w:jc w:val="both"/>
      </w:pPr>
      <w:r>
        <w:t xml:space="preserve">- увеличения плановых показателей по КБК 000 1 11 05300 00 0000 120 «Плата по соглашениям об установлении сервитута в отношении земельных участков, находящихся в государственной или муниципальной собственности» </w:t>
      </w:r>
      <w:r>
        <w:rPr>
          <w:b/>
        </w:rPr>
        <w:t>в сумме 4,94 рубля</w:t>
      </w:r>
      <w:r>
        <w:t xml:space="preserve"> (корректировка плановых показателей произведена главным администратором доходов Комитетом муниципальной собственности администрации Белоярского района по фактическому поступлению данного вида доходов в бюджет района);</w:t>
      </w:r>
    </w:p>
    <w:p>
      <w:pPr>
        <w:ind w:firstLine="851"/>
        <w:jc w:val="both"/>
      </w:pPr>
      <w:r>
        <w:t xml:space="preserve">- увеличения плановых показателей по КБК 000 1 11 05400 00 0000 120 «Плата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собственности» </w:t>
      </w:r>
      <w:r>
        <w:rPr>
          <w:b/>
        </w:rPr>
        <w:t>в сумме 8 936,02 рублей</w:t>
      </w:r>
      <w:r>
        <w:t xml:space="preserve"> (корректировка плановых показателей произведена главным администратором доходов  Комитетом муниципальной собственности администрации Белоярского района по фактическому поступлению данного вида доходов в бюджет района);</w:t>
      </w:r>
    </w:p>
    <w:p>
      <w:pPr>
        <w:ind w:firstLine="851"/>
        <w:jc w:val="both"/>
      </w:pPr>
      <w:r>
        <w:t xml:space="preserve">-  уменьшения плановых показателей по КБК 000 111 07015 05 0000 120 «Доходы от перечисления части прибыли, остающейся после уплаты налогов и иных обязательных платежей МУП, созданных муниципальными районами» </w:t>
      </w:r>
      <w:r>
        <w:rPr>
          <w:b/>
        </w:rPr>
        <w:t>в сумме минус 8 076,01 рублей</w:t>
      </w:r>
      <w:r>
        <w:t>, в связи со снижением прибыли УМП «Управление производственно - технической комплектации» по итогам деятельности за 2022 год;</w:t>
      </w:r>
    </w:p>
    <w:p>
      <w:pPr>
        <w:ind w:firstLine="851"/>
        <w:jc w:val="both"/>
      </w:pPr>
      <w:r>
        <w:t xml:space="preserve">- увеличения плановых показателей по КБК 000  111 09045 05 0000 120 «Прочие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казенных)» </w:t>
      </w:r>
      <w:r>
        <w:rPr>
          <w:b/>
        </w:rPr>
        <w:t>в сумме 840 164,00 рублей</w:t>
      </w:r>
      <w:r>
        <w:t>, за счет поступления в бюджет района взысканной задолженности по договорам социального найма, в результате проведенной претензионно-исковой работы;</w:t>
      </w:r>
    </w:p>
    <w:p>
      <w:pPr>
        <w:pStyle w:val="25"/>
        <w:numPr>
          <w:ilvl w:val="0"/>
          <w:numId w:val="4"/>
        </w:numPr>
        <w:ind w:left="0" w:firstLine="698"/>
        <w:jc w:val="both"/>
      </w:pPr>
      <w:r>
        <w:rPr>
          <w:b/>
          <w:bCs/>
        </w:rPr>
        <w:t xml:space="preserve"> уменьшения</w:t>
      </w:r>
      <w:r>
        <w:t xml:space="preserve"> плановых показателей по КБК 000 112 00000 00 0000 000 «Платежи при пользовании природными ресурсами» </w:t>
      </w:r>
      <w:r>
        <w:rPr>
          <w:b/>
          <w:bCs/>
        </w:rPr>
        <w:t>в сумме минус 208 307,78 рублей</w:t>
      </w:r>
      <w:r>
        <w:t>, в связи с возвратом излишне уплаченной платы за выбросы загрязняющих веществ в атмосферный воздух стационарными объектами по заявлениям плательщиков (корректировка произведена на основании письма администратора поступлений Управлением Федеральной службы по надзору в сфере природопользования по ХМАО-Югре);</w:t>
      </w:r>
    </w:p>
    <w:p>
      <w:pPr>
        <w:numPr>
          <w:ilvl w:val="0"/>
          <w:numId w:val="4"/>
        </w:numPr>
        <w:ind w:left="0" w:firstLine="709"/>
        <w:jc w:val="both"/>
      </w:pPr>
      <w:r>
        <w:rPr>
          <w:b/>
        </w:rPr>
        <w:t xml:space="preserve"> увеличения</w:t>
      </w:r>
      <w:r>
        <w:t xml:space="preserve"> плановых показателей по КБК 000 113 01995 05 0000 130 «Доходы от оказания платных услуг» </w:t>
      </w:r>
      <w:r>
        <w:rPr>
          <w:b/>
        </w:rPr>
        <w:t>в сумме 2 064 372,00 рублей</w:t>
      </w:r>
      <w:r>
        <w:t>, в связи с незапланированным поступлением платы за предоставление заявителю выписки из ИСОГД (информационной системы обеспечения градостроительной деятельности) на земельный участок; заключением договора на содержание рабочего места лица с ограниченными возможностями между ООО «Газпром трансгаз Югорск» и МКУ Белоярского района «Служба материально-технического обеспечения», в соответствии с  Федеральным законом от 24 ноября 1995 года № 181-ФЗ «О социальной защите инвалидов в Российской Федерации»; увеличением с  1 января 2023 года МРОТ  на 6,3% до уровня 16 242 рублей (Федеральный закон от 19.12.2022 года № 522-ФЗ);</w:t>
      </w:r>
    </w:p>
    <w:p>
      <w:pPr>
        <w:numPr>
          <w:ilvl w:val="0"/>
          <w:numId w:val="4"/>
        </w:numPr>
        <w:ind w:left="0" w:firstLine="699" w:firstLineChars="291"/>
        <w:jc w:val="both"/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увеличения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в сумме 563 393,21 рубля,</w:t>
      </w:r>
      <w:r>
        <w:t xml:space="preserve"> в том числе:</w:t>
      </w:r>
    </w:p>
    <w:p>
      <w:pPr>
        <w:ind w:firstLine="720" w:firstLineChars="300"/>
        <w:jc w:val="both"/>
        <w:rPr>
          <w:b/>
          <w:bCs/>
        </w:rPr>
      </w:pPr>
      <w:r>
        <w:t>- за счет поступлений от  ОСФР</w:t>
      </w:r>
      <w:r>
        <w:rPr>
          <w:rFonts w:hint="default"/>
          <w:lang w:val="ru-RU"/>
        </w:rPr>
        <w:t xml:space="preserve"> (Объединенного социального фонда России)</w:t>
      </w:r>
      <w:r>
        <w:t xml:space="preserve"> по ХМАО-Югре в бюджет района </w:t>
      </w:r>
      <w:r>
        <w:rPr>
          <w:lang w:val="ru-RU"/>
        </w:rPr>
        <w:t>компенсации</w:t>
      </w:r>
      <w:r>
        <w:t xml:space="preserve">  расходов, связанных с выплатой пособия неработающим трудоспособным лицам, осуществляющим уход за ребенком-инвалидом в возрасте до 18 лет или инвалидом с детства I группы </w:t>
      </w:r>
      <w:r>
        <w:rPr>
          <w:b/>
          <w:bCs/>
        </w:rPr>
        <w:t>в сумме 118 516,00 рублей;</w:t>
      </w:r>
    </w:p>
    <w:p>
      <w:pPr>
        <w:tabs>
          <w:tab w:val="left" w:pos="851"/>
        </w:tabs>
        <w:ind w:firstLine="720" w:firstLineChars="300"/>
        <w:jc w:val="both"/>
      </w:pPr>
      <w:r>
        <w:t xml:space="preserve">- за счет поступления в 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>
        <w:rPr>
          <w:b/>
          <w:bCs/>
        </w:rPr>
        <w:t xml:space="preserve">в сумме 444 877,21 рублей, </w:t>
      </w:r>
      <w:r>
        <w:t>из них:</w:t>
      </w:r>
    </w:p>
    <w:p>
      <w:pPr>
        <w:ind w:firstLine="709"/>
        <w:jc w:val="both"/>
      </w:pPr>
      <w:r>
        <w:t xml:space="preserve">по субвенции  на реализацию полномочия, указанного в п.2 статьи 2 Закона ХМАО – Югры от 31.01.2011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</w:t>
      </w:r>
      <w:r>
        <w:rPr>
          <w:b/>
          <w:bCs/>
        </w:rPr>
        <w:t xml:space="preserve">в сумме 86 239,93 рублей. </w:t>
      </w:r>
      <w:r>
        <w:t>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>
      <w:pPr>
        <w:ind w:firstLine="709"/>
        <w:jc w:val="both"/>
      </w:pPr>
      <w:r>
        <w:t xml:space="preserve">по субвенции  на повышение эффективности использования и развития ресурсного потенциала рыбохозяйственного комплекса </w:t>
      </w:r>
      <w:r>
        <w:rPr>
          <w:b/>
          <w:bCs/>
        </w:rPr>
        <w:t>в сумме 168 637,28 рублей.</w:t>
      </w:r>
      <w: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>
      <w:pPr>
        <w:ind w:firstLine="709"/>
        <w:jc w:val="both"/>
      </w:pPr>
      <w:r>
        <w:t xml:space="preserve">по субвенции на финансовую поддержку субъектов малого и среднего предпринимательства </w:t>
      </w:r>
      <w:r>
        <w:rPr>
          <w:b/>
        </w:rPr>
        <w:t>в сумме 190 000,00 рублей.</w:t>
      </w:r>
      <w: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>
      <w:pPr>
        <w:numPr>
          <w:ilvl w:val="0"/>
          <w:numId w:val="4"/>
        </w:numPr>
        <w:ind w:left="0" w:firstLine="699" w:firstLineChars="291"/>
        <w:jc w:val="both"/>
      </w:pPr>
      <w:r>
        <w:rPr>
          <w:b/>
        </w:rPr>
        <w:t xml:space="preserve"> увеличения</w:t>
      </w:r>
      <w:r>
        <w:t xml:space="preserve"> плановых показателей по КБК 000 114 00000 00 0000 410 «Доходы от продажи материальных и нематериальных активов» </w:t>
      </w:r>
      <w:r>
        <w:rPr>
          <w:b/>
        </w:rPr>
        <w:t>в сумме 2 216 908,02 рублей</w:t>
      </w:r>
      <w:r>
        <w:t>, в том числе за счет погашения задолженности по договорам мены, договорам купли-продажи жилых помещений с оплатой в рассрочку, досрочным погашением гражданами обязательств по вышеуказанным договорам, а также в связи с увеличением обращений граждан о предоставлении в собственность земельных участков и  фактическим поступлением в бюджет района платы за увеличение площади земельных участков сверх запланированной;</w:t>
      </w:r>
    </w:p>
    <w:p>
      <w:pPr>
        <w:ind w:firstLine="709"/>
        <w:jc w:val="both"/>
      </w:pPr>
      <w:r>
        <w:rPr>
          <w:b/>
        </w:rPr>
        <w:t xml:space="preserve">11) увеличения </w:t>
      </w:r>
      <w:r>
        <w:t xml:space="preserve">плановых показателей по КБК 000 116 00000 00 0000 000 «Штрафы, санкции, возмещение ущерба» </w:t>
      </w:r>
      <w:r>
        <w:rPr>
          <w:b/>
        </w:rPr>
        <w:t>в сумме 1 129 070,74 рублей</w:t>
      </w:r>
      <w:r>
        <w:t xml:space="preserve"> (в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района). </w:t>
      </w:r>
    </w:p>
    <w:p>
      <w:pPr>
        <w:ind w:firstLine="709"/>
        <w:jc w:val="both"/>
      </w:pPr>
    </w:p>
    <w:p>
      <w:pPr>
        <w:ind w:firstLine="709"/>
        <w:jc w:val="both"/>
      </w:pPr>
      <w:r>
        <w:t xml:space="preserve">Одновременно произведены внутренние перемещения плановых показателей по кодам бюджетной классификации  по фактическому поступлению доходов в бюджет на основании писем главных администраторов доходов бюджета Белоярского района. </w:t>
      </w:r>
    </w:p>
    <w:p>
      <w:pPr>
        <w:ind w:firstLine="709"/>
        <w:jc w:val="both"/>
        <w:rPr>
          <w:b/>
          <w:u w:val="single"/>
        </w:rPr>
      </w:pPr>
    </w:p>
    <w:p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безвозмездных поступлений в сумме 158 479 902,16 рублей, в том числе за счет:</w:t>
      </w:r>
    </w:p>
    <w:p>
      <w:pPr>
        <w:ind w:firstLine="709"/>
        <w:jc w:val="both"/>
        <w:rPr>
          <w:b/>
          <w:highlight w:val="yellow"/>
        </w:rPr>
      </w:pPr>
    </w:p>
    <w:p>
      <w:pPr>
        <w:numPr>
          <w:ilvl w:val="0"/>
          <w:numId w:val="5"/>
        </w:numPr>
        <w:ind w:firstLine="720" w:firstLineChars="300"/>
        <w:jc w:val="both"/>
        <w:rPr>
          <w:bCs/>
        </w:rPr>
      </w:pPr>
      <w:r>
        <w:rPr>
          <w:b/>
        </w:rPr>
        <w:t>увеличения</w:t>
      </w:r>
      <w:r>
        <w:rPr>
          <w:bCs/>
        </w:rPr>
        <w:t xml:space="preserve"> плановых назначений по КБК 000 202 10000 00 0000 150 «Дотации бюджетам бюджетной системы Российской Федерации» </w:t>
      </w:r>
      <w:r>
        <w:rPr>
          <w:b/>
        </w:rPr>
        <w:t>в сумме 11 725 400,00 рублей,</w:t>
      </w:r>
      <w:r>
        <w:rPr>
          <w:bCs/>
        </w:rPr>
        <w:t xml:space="preserve"> из них:</w:t>
      </w:r>
    </w:p>
    <w:p>
      <w:pPr>
        <w:ind w:firstLine="720" w:firstLineChars="300"/>
        <w:jc w:val="both"/>
        <w:rPr>
          <w:b/>
          <w:bCs/>
        </w:rPr>
      </w:pPr>
      <w:r>
        <w:t xml:space="preserve">-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в целях обеспечения достигнутого уровня соотношений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– 2017 годы» </w:t>
      </w:r>
      <w:r>
        <w:rPr>
          <w:b/>
          <w:bCs/>
        </w:rPr>
        <w:t>в сумме 3 889 800,00 рублей;</w:t>
      </w:r>
    </w:p>
    <w:p>
      <w:pPr>
        <w:ind w:firstLine="720" w:firstLineChars="300"/>
        <w:jc w:val="both"/>
      </w:pPr>
      <w:r>
        <w:rPr>
          <w:bCs/>
        </w:rPr>
        <w:t xml:space="preserve">- на обеспечение сбалансированности бюджета района </w:t>
      </w:r>
      <w:r>
        <w:rPr>
          <w:b/>
        </w:rPr>
        <w:t xml:space="preserve">в сумме </w:t>
      </w:r>
      <w:r>
        <w:rPr>
          <w:rFonts w:hint="default"/>
          <w:b/>
          <w:lang w:val="en-US"/>
        </w:rPr>
        <w:t>9 198 300</w:t>
      </w:r>
      <w:r>
        <w:rPr>
          <w:b/>
        </w:rPr>
        <w:t>,00 рублей</w:t>
      </w:r>
      <w:r>
        <w:rPr>
          <w:bCs/>
        </w:rPr>
        <w:t xml:space="preserve"> (в соответствии с распоряжением</w:t>
      </w:r>
      <w:r>
        <w:t xml:space="preserve"> Правительства ХМАО - Югры от 10 ноября 2023 № 724-рп);</w:t>
      </w:r>
    </w:p>
    <w:p>
      <w:pPr>
        <w:ind w:firstLine="720" w:firstLineChars="300"/>
        <w:jc w:val="both"/>
        <w:rPr>
          <w:rFonts w:hint="default"/>
          <w:lang w:val="ru-RU"/>
        </w:rPr>
      </w:pPr>
      <w:r>
        <w:rPr>
          <w:rFonts w:hint="default"/>
          <w:lang w:val="en-US"/>
        </w:rPr>
        <w:t xml:space="preserve">- </w:t>
      </w:r>
      <w:r>
        <w:rPr>
          <w:rFonts w:hint="default"/>
          <w:lang w:val="ru-RU"/>
        </w:rPr>
        <w:t xml:space="preserve">корректировка плановых назначений в сторону уменьшения по дотации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</w:r>
      <w:r>
        <w:rPr>
          <w:rFonts w:hint="default"/>
          <w:b/>
          <w:bCs/>
          <w:lang w:val="ru-RU"/>
        </w:rPr>
        <w:t>в сумме минус 1 362 700,00 рублей</w:t>
      </w:r>
      <w:r>
        <w:rPr>
          <w:rFonts w:hint="default"/>
          <w:lang w:val="ru-RU"/>
        </w:rPr>
        <w:t xml:space="preserve"> (постановление Правительства ХМАО-Югры от 24 декабря 2021 года № 585-п);</w:t>
      </w:r>
    </w:p>
    <w:p>
      <w:pPr>
        <w:ind w:firstLine="720" w:firstLineChars="300"/>
        <w:jc w:val="both"/>
        <w:rPr>
          <w:rFonts w:hint="default"/>
          <w:lang w:val="ru-RU"/>
        </w:rPr>
      </w:pPr>
    </w:p>
    <w:p>
      <w:pPr>
        <w:numPr>
          <w:ilvl w:val="0"/>
          <w:numId w:val="5"/>
        </w:numPr>
        <w:ind w:firstLine="720" w:firstLineChars="300"/>
        <w:jc w:val="both"/>
        <w:rPr>
          <w:bCs/>
        </w:rPr>
      </w:pPr>
      <w:r>
        <w:rPr>
          <w:b/>
        </w:rPr>
        <w:t>увеличения</w:t>
      </w:r>
      <w:r>
        <w:rPr>
          <w:bCs/>
        </w:rPr>
        <w:t xml:space="preserve"> плановых назначений по КБК 000 202 20000 00 0000 150 «Субсидии бюджетам бюджетной системы Российской Федерации» </w:t>
      </w:r>
      <w:r>
        <w:rPr>
          <w:b/>
        </w:rPr>
        <w:t>в сумме 32 142 800,00 рублей;</w:t>
      </w:r>
      <w:r>
        <w:rPr>
          <w:bCs/>
        </w:rPr>
        <w:t xml:space="preserve">  </w:t>
      </w:r>
    </w:p>
    <w:p>
      <w:pPr>
        <w:ind w:left="720" w:leftChars="300"/>
        <w:jc w:val="both"/>
        <w:rPr>
          <w:bCs/>
        </w:rPr>
      </w:pPr>
    </w:p>
    <w:p>
      <w:pPr>
        <w:numPr>
          <w:ilvl w:val="0"/>
          <w:numId w:val="5"/>
        </w:numPr>
        <w:ind w:firstLine="720" w:firstLineChars="300"/>
        <w:jc w:val="both"/>
        <w:rPr>
          <w:bCs/>
        </w:rPr>
      </w:pPr>
      <w:r>
        <w:rPr>
          <w:b/>
        </w:rPr>
        <w:t>увеличения</w:t>
      </w:r>
      <w:r>
        <w:rPr>
          <w:bCs/>
        </w:rPr>
        <w:t xml:space="preserve"> плановых назначений по КБК 000 202 30000 00 0000 150 «Субвенции бюджетам бюджетной системы Российской Федерации» </w:t>
      </w:r>
      <w:r>
        <w:rPr>
          <w:b/>
        </w:rPr>
        <w:t>в сумме 27 778 700,00 рублей;</w:t>
      </w:r>
      <w:r>
        <w:rPr>
          <w:bCs/>
        </w:rPr>
        <w:t xml:space="preserve"> </w:t>
      </w:r>
    </w:p>
    <w:p>
      <w:pPr>
        <w:ind w:left="720" w:leftChars="300"/>
        <w:jc w:val="both"/>
        <w:rPr>
          <w:b/>
          <w:bCs/>
        </w:rPr>
      </w:pPr>
      <w:r>
        <w:rPr>
          <w:bCs/>
        </w:rPr>
        <w:t xml:space="preserve"> </w:t>
      </w:r>
    </w:p>
    <w:p>
      <w:pPr>
        <w:numPr>
          <w:ilvl w:val="0"/>
          <w:numId w:val="6"/>
        </w:numPr>
        <w:ind w:firstLine="720" w:firstLineChars="300"/>
        <w:jc w:val="both"/>
        <w:rPr>
          <w:b/>
          <w:bCs/>
        </w:rPr>
      </w:pPr>
      <w:r>
        <w:rPr>
          <w:b/>
        </w:rPr>
        <w:t>увеличения</w:t>
      </w:r>
      <w:r>
        <w:t xml:space="preserve"> плановых назначений по КБК 000 202 40000 00 0000 150 «Иные межбюджетные трансферты»  </w:t>
      </w:r>
      <w:r>
        <w:rPr>
          <w:b/>
          <w:bCs/>
        </w:rPr>
        <w:t>в сумме 86 172 335,37 рублей, в том числе:</w:t>
      </w:r>
    </w:p>
    <w:p>
      <w:pPr>
        <w:ind w:firstLine="720" w:firstLineChars="300"/>
        <w:jc w:val="both"/>
        <w:rPr>
          <w:b/>
          <w:bCs/>
        </w:rPr>
      </w:pPr>
    </w:p>
    <w:p>
      <w:pPr>
        <w:ind w:firstLine="720" w:firstLineChars="300"/>
        <w:jc w:val="both"/>
        <w:rPr>
          <w:b/>
          <w:bCs/>
        </w:rPr>
      </w:pPr>
      <w:r>
        <w:rPr>
          <w:b/>
          <w:bCs/>
        </w:rPr>
        <w:t xml:space="preserve">- </w:t>
      </w:r>
      <w:r>
        <w:rPr>
          <w:bCs/>
        </w:rPr>
        <w:t>за счет</w:t>
      </w:r>
      <w:r>
        <w:t xml:space="preserve"> иных межбюджетных трансфертов из резервного фонда Правительства Ханты-Мансийского автономного округа – Югры </w:t>
      </w:r>
      <w:r>
        <w:rPr>
          <w:b/>
          <w:bCs/>
        </w:rPr>
        <w:t>в сумме 45 075 100,00 рублей, в том числе:</w:t>
      </w:r>
    </w:p>
    <w:p>
      <w:pPr>
        <w:tabs>
          <w:tab w:val="left" w:pos="851"/>
        </w:tabs>
        <w:ind w:firstLine="709"/>
        <w:jc w:val="both"/>
        <w:rPr>
          <w:b/>
        </w:rPr>
      </w:pPr>
      <w:r>
        <w:t xml:space="preserve">в целях оплаты задолженности  организаций коммунального комплекса за потребленный природный газ  (постановление Правительства ХМАО-Югры от 8 декабря 2023 года № 615-П) </w:t>
      </w:r>
      <w:r>
        <w:rPr>
          <w:b/>
        </w:rPr>
        <w:t xml:space="preserve">в сумме 14 555 100,00 рублей; </w:t>
      </w:r>
    </w:p>
    <w:p>
      <w:pPr>
        <w:tabs>
          <w:tab w:val="left" w:pos="851"/>
        </w:tabs>
        <w:ind w:firstLine="709"/>
        <w:jc w:val="both"/>
        <w:rPr>
          <w:b/>
        </w:rPr>
      </w:pPr>
      <w:r>
        <w:t xml:space="preserve">в целях оплаты задолженности  организаций коммунального комплекса за потребленные топливно-энергетические  ресурсы (постановления Правительства ХМАО-Югры от 6 октября 2023 года № 497-П, от 17 ноября 2023 года № 582-П) </w:t>
      </w:r>
      <w:r>
        <w:rPr>
          <w:b/>
        </w:rPr>
        <w:t>в сумме                30 400 000,00 рублей;</w:t>
      </w:r>
    </w:p>
    <w:p>
      <w:pPr>
        <w:ind w:firstLine="720" w:firstLineChars="300"/>
        <w:jc w:val="both"/>
        <w:rPr>
          <w:b/>
          <w:bCs/>
        </w:rPr>
      </w:pPr>
      <w:r>
        <w:t xml:space="preserve">на финансовое обеспечение мероприятий по поощрению муниципальных команд </w:t>
      </w:r>
      <w:r>
        <w:rPr>
          <w:b/>
          <w:bCs/>
        </w:rPr>
        <w:t>в сумме 120 000,00 рублей;</w:t>
      </w:r>
    </w:p>
    <w:p>
      <w:pPr>
        <w:tabs>
          <w:tab w:val="left" w:pos="851"/>
        </w:tabs>
        <w:ind w:firstLine="709"/>
        <w:jc w:val="both"/>
        <w:rPr>
          <w:b/>
        </w:rPr>
      </w:pPr>
    </w:p>
    <w:p>
      <w:pPr>
        <w:tabs>
          <w:tab w:val="left" w:pos="851"/>
        </w:tabs>
        <w:ind w:firstLine="709"/>
        <w:jc w:val="both"/>
        <w:rPr>
          <w:b/>
        </w:rPr>
      </w:pPr>
      <w:r>
        <w:rPr>
          <w:bCs/>
        </w:rPr>
        <w:t xml:space="preserve">- за счет иных межбюджетных трансфертов из бюджета автономного округа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 </w:t>
      </w:r>
      <w:r>
        <w:rPr>
          <w:b/>
        </w:rPr>
        <w:t>в сумме 43 714 535,37 рублей;</w:t>
      </w:r>
    </w:p>
    <w:p>
      <w:pPr>
        <w:jc w:val="both"/>
        <w:rPr>
          <w:b/>
          <w:bCs/>
          <w:highlight w:val="yellow"/>
        </w:rPr>
      </w:pPr>
    </w:p>
    <w:p>
      <w:pPr>
        <w:ind w:firstLine="720" w:firstLineChars="300"/>
        <w:jc w:val="both"/>
        <w:rPr>
          <w:b/>
          <w:bCs/>
        </w:rPr>
      </w:pPr>
      <w:r>
        <w:t>- за счет иных межбюджетны</w:t>
      </w:r>
      <w:r>
        <w:rPr>
          <w:lang w:val="ru-RU"/>
        </w:rPr>
        <w:t>х</w:t>
      </w:r>
      <w:r>
        <w:t xml:space="preserve"> трансферт</w:t>
      </w:r>
      <w:r>
        <w:rPr>
          <w:lang w:val="ru-RU"/>
        </w:rPr>
        <w:t>ов</w:t>
      </w:r>
      <w:r>
        <w:t xml:space="preserve">  в рамках наказов избирателей депутатам Думы Ханты-Мансийского автономного округа – Югры   на организацию и проведение мероприятий для МАУК Белоярского района «Центр культуры и досуга, концертный зал «Камертон»</w:t>
      </w:r>
      <w:r>
        <w:rPr>
          <w:b/>
          <w:bCs/>
        </w:rPr>
        <w:t xml:space="preserve"> в сумме 200 000,00 рублей;</w:t>
      </w:r>
    </w:p>
    <w:p>
      <w:pPr>
        <w:ind w:firstLine="720" w:firstLineChars="300"/>
        <w:jc w:val="both"/>
        <w:rPr>
          <w:b/>
          <w:bCs/>
          <w:highlight w:val="yellow"/>
        </w:rPr>
      </w:pPr>
    </w:p>
    <w:p>
      <w:pPr>
        <w:ind w:firstLine="480" w:firstLineChars="200"/>
        <w:jc w:val="both"/>
      </w:pPr>
      <w:r>
        <w:t xml:space="preserve">- за счет уменьшения плановых назначений по иным межбюджетным трансфертам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(федеральный бюджет) </w:t>
      </w:r>
      <w:r>
        <w:rPr>
          <w:b/>
          <w:bCs/>
        </w:rPr>
        <w:t>в сумме минус 1 279 700,00 рублей</w:t>
      </w:r>
      <w:r>
        <w:t xml:space="preserve"> (Закон ХМАО-Югры от 14 декабря 2023 года № 110-оз «О внесении изменений в Закон ХМАО-Югры  о бюджете автономного округа на 2023 год и плановый период 2024 и 2025 годов»);</w:t>
      </w:r>
    </w:p>
    <w:p>
      <w:pPr>
        <w:ind w:firstLine="480" w:firstLineChars="200"/>
        <w:jc w:val="both"/>
      </w:pPr>
    </w:p>
    <w:p>
      <w:pPr>
        <w:ind w:firstLine="480" w:firstLineChars="200"/>
        <w:jc w:val="both"/>
      </w:pPr>
      <w:r>
        <w:t xml:space="preserve">- за счет уменьшения плановых назначений по иным межбюджетным трансфертам на реализацию мероприятий по содействию трудоустройства граждан </w:t>
      </w:r>
      <w:r>
        <w:rPr>
          <w:b/>
          <w:bCs/>
        </w:rPr>
        <w:t>в сумме минус                         1 537 600,00 рублей</w:t>
      </w:r>
      <w:r>
        <w:t xml:space="preserve"> (Закон ХМАО-Югры от 14 декабря 2023 года № 110-оз «О внесении изменений в Закон ХМАО-Югры  о бюджете автономного округа на 2023 год и плановый период 2024 и 2025 годов»).</w:t>
      </w:r>
    </w:p>
    <w:p>
      <w:pPr>
        <w:ind w:firstLine="480" w:firstLineChars="200"/>
        <w:jc w:val="both"/>
      </w:pPr>
    </w:p>
    <w:p>
      <w:pPr>
        <w:numPr>
          <w:ilvl w:val="0"/>
          <w:numId w:val="6"/>
        </w:numPr>
        <w:ind w:firstLine="720" w:firstLineChars="300"/>
        <w:jc w:val="both"/>
      </w:pPr>
      <w:r>
        <w:rPr>
          <w:b/>
        </w:rPr>
        <w:t>увеличения</w:t>
      </w:r>
      <w:r>
        <w:t xml:space="preserve"> плановых назначений по КБК 000 2 03 00000 00 0000 000 «Безвозмездные поступления от государственных (муниципальных) организаций» </w:t>
      </w:r>
      <w:r>
        <w:rPr>
          <w:b/>
          <w:bCs/>
        </w:rPr>
        <w:t>в сумме 100 000,00 рублей</w:t>
      </w:r>
      <w:r>
        <w:t>, за счет безвозмездных перечислений из резервного фонда Правительства Тюменской области на организацию и проведение новогодних мероприятий для детей для МАУК Белоярского района «Центр культуры и досуга, концертный зал «Камертон»;</w:t>
      </w:r>
    </w:p>
    <w:p>
      <w:pPr>
        <w:jc w:val="both"/>
      </w:pPr>
    </w:p>
    <w:p>
      <w:pPr>
        <w:numPr>
          <w:ilvl w:val="0"/>
          <w:numId w:val="6"/>
        </w:numPr>
        <w:ind w:firstLine="720" w:firstLineChars="300"/>
        <w:jc w:val="both"/>
        <w:rPr>
          <w:bCs/>
        </w:rPr>
      </w:pPr>
      <w:r>
        <w:rPr>
          <w:b/>
        </w:rPr>
        <w:t>увеличения</w:t>
      </w:r>
      <w:r>
        <w:t xml:space="preserve"> плановых назначений по КБК 000 2 07 00000 00 0000 000 «Прочие безвозмездные поступления»</w:t>
      </w:r>
      <w:r>
        <w:rPr>
          <w:b/>
          <w:bCs/>
        </w:rPr>
        <w:t xml:space="preserve"> в сумме 1 005 544,00 </w:t>
      </w:r>
      <w:r>
        <w:rPr>
          <w:b/>
        </w:rPr>
        <w:t xml:space="preserve">рублей, </w:t>
      </w:r>
      <w:r>
        <w:t>в том числе:</w:t>
      </w:r>
    </w:p>
    <w:p>
      <w:pPr>
        <w:ind w:firstLine="851"/>
        <w:jc w:val="both"/>
        <w:rPr>
          <w:b/>
        </w:rPr>
      </w:pPr>
      <w:r>
        <w:t xml:space="preserve">- за счет средств ООО «ЛУКОЙЛ-Западная Сибирь» на основании дополнительного соглашения № 15 к Соглашению о сотрудничестве между Правительством ХМАО-Югры и ПАО «ЛУКОЙЛ» от 29 января 2019 года № 1910035  на грантовую поддержку по результатам итогов конкурса социальных и культурных проектов, проведенных Обществом  </w:t>
      </w:r>
      <w:r>
        <w:rPr>
          <w:b/>
        </w:rPr>
        <w:t>в сумме 495 000,00 рублей;</w:t>
      </w:r>
    </w:p>
    <w:p>
      <w:pPr>
        <w:ind w:firstLine="851"/>
        <w:jc w:val="both"/>
        <w:rPr>
          <w:b/>
        </w:rPr>
      </w:pPr>
      <w:r>
        <w:t>-</w:t>
      </w:r>
      <w:r>
        <w:tab/>
      </w:r>
      <w:r>
        <w:t xml:space="preserve">за счет средств ООО «Сургутнефтегаз», в соответствии с дополнительными соглашениями, заключёнными между администрацией Белоярского района и ПАО «Сургутнефтегаз» на социально - экономическое развитие Белоярского района </w:t>
      </w:r>
      <w:r>
        <w:rPr>
          <w:b/>
        </w:rPr>
        <w:t>в сумме 510 544,00 рублей;</w:t>
      </w:r>
    </w:p>
    <w:p>
      <w:pPr>
        <w:ind w:firstLine="851"/>
        <w:jc w:val="both"/>
        <w:rPr>
          <w:b/>
        </w:rPr>
      </w:pPr>
    </w:p>
    <w:p>
      <w:pPr>
        <w:pStyle w:val="25"/>
        <w:widowControl w:val="0"/>
        <w:numPr>
          <w:ilvl w:val="0"/>
          <w:numId w:val="6"/>
        </w:numPr>
        <w:ind w:left="0" w:firstLine="720" w:firstLineChars="300"/>
        <w:jc w:val="both"/>
        <w:rPr>
          <w:b/>
        </w:rPr>
      </w:pPr>
      <w:r>
        <w:rPr>
          <w:b/>
        </w:rPr>
        <w:t xml:space="preserve">уменьшения </w:t>
      </w:r>
      <w:r>
        <w:t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>
        <w:rPr>
          <w:b/>
        </w:rPr>
        <w:t xml:space="preserve"> в сумме минус  444 877,21 рублей,</w:t>
      </w:r>
      <w:r>
        <w:t xml:space="preserve"> за счет поступления в бюджет района в текущем финансовом году неосвоенных средств прошлых лет по субвенциям Ханты-Мансийского автономного округа – Югры для дальнейшего возврата в окружной бюджет (см. пояснение по КБК 000 113 02995 05 0000 130 «Прочие доходы от компенсации затрат бюджетов муниципальных районов») .</w:t>
      </w:r>
    </w:p>
    <w:p>
      <w:pPr>
        <w:ind w:firstLine="720" w:firstLineChars="300"/>
        <w:jc w:val="both"/>
      </w:pPr>
    </w:p>
    <w:p>
      <w:pPr>
        <w:ind w:firstLine="720" w:firstLineChars="300"/>
        <w:jc w:val="both"/>
      </w:pPr>
      <w:r>
        <w:t xml:space="preserve">Одновременно Проектом предлагается произвести уточнение доходов бюджета Белоярского района планового периода 2024 и 2025 годов, </w:t>
      </w:r>
      <w:r>
        <w:rPr>
          <w:bCs/>
        </w:rPr>
        <w:t>в</w:t>
      </w:r>
      <w:r>
        <w:t xml:space="preserve"> том числе:</w:t>
      </w:r>
    </w:p>
    <w:p>
      <w:pPr>
        <w:ind w:firstLine="720" w:firstLineChars="300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2024 год на сумму 186 896 400,00 рублей, за счет:</w:t>
      </w:r>
    </w:p>
    <w:p>
      <w:pPr>
        <w:numPr>
          <w:ilvl w:val="0"/>
          <w:numId w:val="7"/>
        </w:numPr>
        <w:ind w:firstLine="720" w:firstLineChars="300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реализацию мероприятий по строительству и реконструкции (модернизации) объектов питьевого водоснабжения  </w:t>
      </w:r>
      <w:r>
        <w:rPr>
          <w:b/>
          <w:bCs/>
        </w:rPr>
        <w:t>в сумме 61 758 500,00 рублей;</w:t>
      </w:r>
    </w:p>
    <w:p>
      <w:pPr>
        <w:numPr>
          <w:ilvl w:val="0"/>
          <w:numId w:val="7"/>
        </w:numPr>
        <w:ind w:firstLine="720" w:firstLineChars="300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создание в соответствии с концессионными соглашениями объектов обращения с отходами, за счет бюджетных кредитов на реализацию инфраструктурных проектов </w:t>
      </w:r>
      <w:r>
        <w:rPr>
          <w:b/>
          <w:bCs/>
        </w:rPr>
        <w:t>в сумме 104 647 000,00 рублей;</w:t>
      </w:r>
    </w:p>
    <w:p>
      <w:pPr>
        <w:numPr>
          <w:ilvl w:val="0"/>
          <w:numId w:val="7"/>
        </w:numPr>
        <w:ind w:firstLine="720" w:firstLineChars="300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создание в соответствии с концессионными соглашениями объектов обращения с отходами в целях реализации инфраструктурных проектов </w:t>
      </w:r>
      <w:r>
        <w:rPr>
          <w:b/>
          <w:bCs/>
        </w:rPr>
        <w:t>в сумме 20 490 900,00 рублей;</w:t>
      </w:r>
    </w:p>
    <w:p>
      <w:pPr>
        <w:ind w:firstLine="720"/>
        <w:jc w:val="both"/>
        <w:rPr>
          <w:b/>
        </w:rPr>
      </w:pPr>
    </w:p>
    <w:p>
      <w:pPr>
        <w:ind w:firstLine="720" w:firstLineChars="300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2025 год на сумму минус 14 500 000,00 рублей, за счет:</w:t>
      </w:r>
    </w:p>
    <w:p>
      <w:pPr>
        <w:numPr>
          <w:ilvl w:val="0"/>
          <w:numId w:val="8"/>
        </w:numPr>
        <w:ind w:firstLine="720" w:firstLineChars="300"/>
        <w:jc w:val="both"/>
      </w:pPr>
      <w:r>
        <w:t xml:space="preserve"> у</w:t>
      </w:r>
      <w:r>
        <w:rPr>
          <w:b/>
        </w:rPr>
        <w:t xml:space="preserve">меньшения </w:t>
      </w:r>
      <w:r>
        <w:t xml:space="preserve">плановых назначений по субсидии на строительство (реконструкцию), капитальный ремонт и ремонт автомобильных дорог общего пользования местного значения </w:t>
      </w:r>
      <w:r>
        <w:rPr>
          <w:b/>
          <w:bCs/>
        </w:rPr>
        <w:t xml:space="preserve">в сумме минус  14 500 000,00 рублей, </w:t>
      </w:r>
      <w:r>
        <w:t>в связи с переносом планов по данной субсидии на 2023 год.</w:t>
      </w:r>
    </w:p>
    <w:p>
      <w:pPr>
        <w:jc w:val="both"/>
        <w:rPr>
          <w:bCs/>
          <w:highlight w:val="yellow"/>
        </w:rPr>
      </w:pPr>
      <w:bookmarkStart w:id="0" w:name="_GoBack"/>
      <w:bookmarkEnd w:id="0"/>
    </w:p>
    <w:p>
      <w:pPr>
        <w:widowControl w:val="0"/>
        <w:jc w:val="center"/>
        <w:rPr>
          <w:b/>
        </w:rPr>
      </w:pPr>
      <w:r>
        <w:rPr>
          <w:b/>
        </w:rPr>
        <w:t>РАСХОДЫ</w:t>
      </w:r>
    </w:p>
    <w:p>
      <w:pPr>
        <w:jc w:val="center"/>
        <w:rPr>
          <w:b/>
        </w:rPr>
      </w:pPr>
    </w:p>
    <w:p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2023 год предлагается уточнить на                          </w:t>
      </w:r>
      <w:r>
        <w:rPr>
          <w:b/>
        </w:rPr>
        <w:t>(-)</w:t>
      </w:r>
      <w:r>
        <w:t xml:space="preserve"> </w:t>
      </w:r>
      <w:r>
        <w:rPr>
          <w:b/>
        </w:rPr>
        <w:t>23 268 626,32 рублей</w:t>
      </w:r>
      <w:r>
        <w:t>, в том числе:</w:t>
      </w:r>
    </w:p>
    <w:p>
      <w:pPr>
        <w:pStyle w:val="25"/>
        <w:numPr>
          <w:ilvl w:val="0"/>
          <w:numId w:val="9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 увеличения </w:t>
      </w:r>
      <w:r>
        <w:t>в сумме</w:t>
      </w:r>
      <w:r>
        <w:rPr>
          <w:b/>
        </w:rPr>
        <w:t xml:space="preserve"> 146 093 835,37</w:t>
      </w:r>
      <w:r>
        <w:t xml:space="preserve"> рублей за счет поступивших в бюджет Белоярского района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>
      <w:pPr>
        <w:pStyle w:val="25"/>
        <w:numPr>
          <w:ilvl w:val="0"/>
          <w:numId w:val="9"/>
        </w:numPr>
        <w:ind w:left="0" w:firstLine="709"/>
        <w:jc w:val="both"/>
      </w:pPr>
      <w:r>
        <w:rPr>
          <w:b/>
        </w:rPr>
        <w:t xml:space="preserve"> увеличения</w:t>
      </w:r>
      <w:r>
        <w:t xml:space="preserve"> в сумме </w:t>
      </w:r>
      <w:r>
        <w:rPr>
          <w:b/>
        </w:rPr>
        <w:t>100 000,00 рублей</w:t>
      </w:r>
      <w:r>
        <w:t xml:space="preserve"> 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>
      <w:pPr>
        <w:pStyle w:val="25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увеличения</w:t>
      </w:r>
      <w:r>
        <w:t xml:space="preserve"> в сумме </w:t>
      </w:r>
      <w:r>
        <w:rPr>
          <w:b/>
        </w:rPr>
        <w:t>13 088 100,00 рублей</w:t>
      </w:r>
      <w:r>
        <w:t xml:space="preserve">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- Югры;</w:t>
      </w:r>
    </w:p>
    <w:p>
      <w:pPr>
        <w:numPr>
          <w:ilvl w:val="0"/>
          <w:numId w:val="9"/>
        </w:numPr>
        <w:tabs>
          <w:tab w:val="left" w:pos="710"/>
          <w:tab w:val="left" w:pos="851"/>
        </w:tabs>
        <w:ind w:left="0" w:firstLine="709"/>
        <w:jc w:val="both"/>
      </w:pPr>
      <w:r>
        <w:rPr>
          <w:b/>
        </w:rPr>
        <w:t xml:space="preserve"> увеличения </w:t>
      </w:r>
      <w:r>
        <w:t>в сумме</w:t>
      </w:r>
      <w:r>
        <w:rPr>
          <w:b/>
        </w:rPr>
        <w:t xml:space="preserve"> 495 000,00 рублей</w:t>
      </w:r>
      <w:r>
        <w:t xml:space="preserve"> за счет средств ООО «ЛУКОЙЛ-Западная Сибирь» на основании дополнительного соглашения № 15 к Соглашению о сотрудничестве между Правительством ХМАО-Югры и ПАО «ЛУКОЙЛ» имеющих целевое назначение и подлежащих уточнению в бюджете района на соответствующие цели;  </w:t>
      </w:r>
    </w:p>
    <w:p>
      <w:pPr>
        <w:ind w:firstLine="709"/>
        <w:jc w:val="both"/>
      </w:pPr>
      <w:r>
        <w:rPr>
          <w:b/>
        </w:rPr>
        <w:t>5)</w:t>
      </w:r>
      <w:r>
        <w:t xml:space="preserve"> </w:t>
      </w:r>
      <w:r>
        <w:rPr>
          <w:b/>
        </w:rPr>
        <w:t>уменьшения</w:t>
      </w:r>
      <w:r>
        <w:t xml:space="preserve"> в сумме </w:t>
      </w:r>
      <w:r>
        <w:rPr>
          <w:b/>
        </w:rPr>
        <w:t>183 045 561,69 рубль</w:t>
      </w:r>
      <w:r>
        <w:t xml:space="preserve"> путем уменьшения бюджетных ассигнований по главным распорядителям средств бюджета района.</w:t>
      </w:r>
    </w:p>
    <w:p>
      <w:pPr>
        <w:ind w:left="709"/>
        <w:jc w:val="both"/>
      </w:pPr>
    </w:p>
    <w:p>
      <w:pPr>
        <w:jc w:val="both"/>
      </w:pPr>
      <w:r>
        <w:t xml:space="preserve">      Бюджетные ассигнования в сумме 183 045 561,69 рублей предлагается откорректировать по следующим главным распорядителям бюджетных средств:</w:t>
      </w:r>
    </w:p>
    <w:p>
      <w:pPr>
        <w:jc w:val="both"/>
      </w:pPr>
    </w:p>
    <w:p>
      <w:pPr>
        <w:tabs>
          <w:tab w:val="left" w:pos="851"/>
          <w:tab w:val="left" w:pos="993"/>
        </w:tabs>
        <w:ind w:firstLine="709"/>
        <w:jc w:val="both"/>
      </w:pPr>
      <w:r>
        <w:rPr>
          <w:b/>
          <w:u w:val="single"/>
        </w:rPr>
        <w:t>Администрации Белоярского района</w:t>
      </w:r>
      <w:r>
        <w:t xml:space="preserve"> уменьшены бюджетные ассигнования в сумме </w:t>
      </w:r>
      <w:r>
        <w:rPr>
          <w:b/>
        </w:rPr>
        <w:t>31 308 554,62 рубля</w:t>
      </w:r>
      <w:r>
        <w:t>, в том числе за счёт:</w:t>
      </w:r>
    </w:p>
    <w:p>
      <w:pPr>
        <w:pStyle w:val="25"/>
        <w:numPr>
          <w:ilvl w:val="0"/>
          <w:numId w:val="10"/>
        </w:numPr>
        <w:ind w:left="0" w:firstLine="709"/>
        <w:jc w:val="both"/>
      </w:pPr>
      <w:r>
        <w:tab/>
      </w:r>
      <w:r>
        <w:t xml:space="preserve"> </w:t>
      </w:r>
      <w:r>
        <w:rPr>
          <w:b/>
        </w:rPr>
        <w:t>уменьшения</w:t>
      </w:r>
      <w:r>
        <w:t xml:space="preserve"> плановых назначений в сумме  </w:t>
      </w:r>
      <w:r>
        <w:rPr>
          <w:b/>
        </w:rPr>
        <w:t>1 289 303,78 рубля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района», в том числе:</w:t>
      </w:r>
    </w:p>
    <w:p>
      <w:pPr>
        <w:ind w:firstLine="709"/>
        <w:jc w:val="both"/>
      </w:pPr>
      <w:r>
        <w:t>1.1.) уменьшения плановых назначений в сумме 981 297,80 рублей по подпрограмме «Функционирование органов местного самоуправления Белоярского района» в связи со сложившейся экономией средств, предусмотренных на обеспечение деятельности органов местного самоуправления и дополнительное пенсионное обеспечение;</w:t>
      </w:r>
    </w:p>
    <w:p>
      <w:pPr>
        <w:ind w:firstLine="709"/>
        <w:jc w:val="both"/>
      </w:pPr>
      <w:r>
        <w:t>1.2.) уменьшения плановых назначений в сумме 308 005,98 рублей по подпрограмме «Развитие муниципальной службы в Белоярском районе» в связи со сложившейся экономией средств, предусмотренных на реализацию мероприятий направленных на развитие муниципальной службы (повышение квалификации муниципальных служащих,  проведение диспансеризации муниципальных служащих);</w:t>
      </w:r>
    </w:p>
    <w:p>
      <w:pPr>
        <w:ind w:firstLine="709"/>
        <w:jc w:val="both"/>
      </w:pPr>
      <w:r>
        <w:rPr>
          <w:b/>
        </w:rPr>
        <w:t>2)  уменьшения</w:t>
      </w:r>
      <w:r>
        <w:t xml:space="preserve">  плановых  назначений  в  сумме  </w:t>
      </w:r>
      <w:r>
        <w:rPr>
          <w:b/>
        </w:rPr>
        <w:t>688 290,00 рублей</w:t>
      </w:r>
      <w:r>
        <w:t xml:space="preserve">   по муниципальной программе Белоярского района «Развитие социальной политики», в том числе:</w:t>
      </w:r>
    </w:p>
    <w:p>
      <w:pPr>
        <w:ind w:firstLine="709"/>
        <w:jc w:val="both"/>
      </w:pPr>
      <w:r>
        <w:t>2.1.) уменьшения плановых назначений в сумме 508 290,00 рублей по подпрограмме «Реализация мероприятий социальной политики на территории Белоярского района», из них:</w:t>
      </w:r>
    </w:p>
    <w:p>
      <w:pPr>
        <w:ind w:firstLine="709"/>
        <w:jc w:val="both"/>
      </w:pPr>
      <w:r>
        <w:t>- 207</w:t>
      </w:r>
      <w:r>
        <w:rPr>
          <w:lang w:val="en-US"/>
        </w:rPr>
        <w:t> </w:t>
      </w:r>
      <w:r>
        <w:t>790,00 рублей  в связи со сложившейся экономией средств, предусмотренных на выплаты пенсий за выслугу лет лицам замещавшим должности муниципальной службы;</w:t>
      </w:r>
    </w:p>
    <w:p>
      <w:pPr>
        <w:tabs>
          <w:tab w:val="left" w:pos="1276"/>
        </w:tabs>
        <w:jc w:val="both"/>
      </w:pPr>
      <w:r>
        <w:t xml:space="preserve">           - 100 500,00 рублей  высвобождение  финансовых  средств  предусмотренных  на возмещение части транспортных расходов по перевозке тел граждан из числа неработающих пенсионеров, умерших от новой коронавирусной инфекции COVID-19 за пределами Белоярского района,  в связи с отсутствием обращений граждан за предоставлением данной компенсации;</w:t>
      </w:r>
    </w:p>
    <w:p>
      <w:pPr>
        <w:tabs>
          <w:tab w:val="left" w:pos="1276"/>
        </w:tabs>
        <w:jc w:val="both"/>
      </w:pPr>
      <w:r>
        <w:t xml:space="preserve">          - 200 000,00 рублей высвобождение финансовых средств предусмотренных на разработку и подготовку проектно-сметной документации по приспособлению жилых помещений и общего имущества в многоквартирных домах, в которых проживают инвалиды, в связи с переносом срока выполнения работ на следующий год;</w:t>
      </w:r>
    </w:p>
    <w:p>
      <w:pPr>
        <w:ind w:firstLine="709"/>
        <w:jc w:val="both"/>
      </w:pPr>
      <w:r>
        <w:t>2.2.) уменьшения плановых назначений в сумме 180 000,00 рублей по подпрограмме «Поддержка социально ориентированных некоммерческих организаций» в связи со сложившейся экономией средств, предусмотренных на предоставление грантов в форме субсидий социально ориентированным некоммерческим организациям на реализацию социально значимых мероприятий в Белоярском районе;</w:t>
      </w:r>
    </w:p>
    <w:p>
      <w:pPr>
        <w:ind w:firstLine="709"/>
        <w:jc w:val="both"/>
      </w:pPr>
      <w:r>
        <w:rPr>
          <w:b/>
        </w:rPr>
        <w:t>3) уменьшения</w:t>
      </w:r>
      <w:r>
        <w:t xml:space="preserve"> плановых назначений в сумме </w:t>
      </w:r>
      <w:r>
        <w:rPr>
          <w:b/>
        </w:rPr>
        <w:t>50 000,00 рублей</w:t>
      </w:r>
      <w:r>
        <w:t xml:space="preserve"> по подпрограмме «Содействие развитию жилищного строительства на территории Белоярского района» муниципальной программы Белоярского района «Обеспечение доступным и комфортным жильем жителей Белоярского района» предусмотренных на снос аварийного жилищного фонда в связи со сложившейся экономией средств в результате уточнения расчетов стоимости услуг по контракту на проведение негосударственной экспертизы достоверности определения сметной стоимости;</w:t>
      </w:r>
    </w:p>
    <w:p>
      <w:pPr>
        <w:tabs>
          <w:tab w:val="left" w:pos="993"/>
        </w:tabs>
        <w:ind w:firstLine="709"/>
        <w:jc w:val="both"/>
      </w:pPr>
      <w:r>
        <w:rPr>
          <w:b/>
        </w:rPr>
        <w:t>4)</w:t>
      </w:r>
      <w:r>
        <w:tab/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36 184,10 рубля</w:t>
      </w:r>
      <w:r>
        <w:t xml:space="preserve"> по подпрограмме «Модернизация и реформирование жилищно-коммунального комплекса Белоярского района» муниципальной программы Белоярского района «Развитие жилищно-коммунального комплекса и повышение энергетической эффективности», из них:</w:t>
      </w:r>
    </w:p>
    <w:p>
      <w:pPr>
        <w:tabs>
          <w:tab w:val="left" w:pos="993"/>
        </w:tabs>
        <w:ind w:firstLine="709"/>
        <w:jc w:val="both"/>
      </w:pPr>
      <w:r>
        <w:t>-34 771,89 рубль для соблюдения доли софинансирования к средствам автономного округа на обеспечение мероприятий по модернизации систем коммунальной инфраструктуры (выравнивание доли софинансирования 10% к 90%);</w:t>
      </w:r>
    </w:p>
    <w:p>
      <w:pPr>
        <w:tabs>
          <w:tab w:val="left" w:pos="993"/>
        </w:tabs>
        <w:ind w:firstLine="709"/>
        <w:jc w:val="both"/>
      </w:pPr>
      <w:r>
        <w:t>- 1 312,21 рублей в связи со сложившейся экономией средств, предусмотренных на капитальный ремонт сетей водоснабжения и теплоснабжения в результате уточнения расчетов стоимости услуг по контракту на выполнение проектных работ;</w:t>
      </w:r>
    </w:p>
    <w:p>
      <w:pPr>
        <w:tabs>
          <w:tab w:val="left" w:pos="993"/>
        </w:tabs>
        <w:ind w:firstLine="709"/>
        <w:jc w:val="both"/>
      </w:pPr>
      <w:r>
        <w:t>- 100,00 рублей за счет высвобожденных финансовых средств местного бюджета, предусмотренных на предоставление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района,  в связи с замещением средствами поступившими из бюджета автономного округа;</w:t>
      </w:r>
    </w:p>
    <w:p>
      <w:pPr>
        <w:tabs>
          <w:tab w:val="left" w:pos="851"/>
          <w:tab w:val="left" w:pos="993"/>
        </w:tabs>
        <w:ind w:firstLine="709"/>
        <w:jc w:val="both"/>
      </w:pPr>
      <w:r>
        <w:rPr>
          <w:b/>
        </w:rPr>
        <w:t>5)</w:t>
      </w:r>
      <w:r>
        <w:rPr>
          <w:b/>
        </w:rPr>
        <w:tab/>
      </w:r>
      <w:r>
        <w:rPr>
          <w:b/>
        </w:rPr>
        <w:t xml:space="preserve"> уменьшения </w:t>
      </w:r>
      <w:r>
        <w:t xml:space="preserve">плановых назначений в сумме </w:t>
      </w:r>
      <w:r>
        <w:rPr>
          <w:b/>
        </w:rPr>
        <w:t>172 043,48 рубля</w:t>
      </w:r>
      <w:r>
        <w:t xml:space="preserve"> по подпрограмме  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муниципальной программы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в связи со сложившейся экономией средств, предусмотренных на обеспечение деятельности  муниципального казённого учреждения «Единая дежурно-диспетчерская служба Белоярского района» (компенсация расходов на оплату стоимости проезда и провоза багажа к месту использования отпуска и обратно);</w:t>
      </w:r>
    </w:p>
    <w:p>
      <w:pPr>
        <w:tabs>
          <w:tab w:val="left" w:pos="993"/>
        </w:tabs>
        <w:ind w:firstLine="709"/>
        <w:jc w:val="both"/>
      </w:pPr>
      <w:r>
        <w:rPr>
          <w:b/>
        </w:rPr>
        <w:t>6)</w:t>
      </w:r>
      <w:r>
        <w:t xml:space="preserve">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 xml:space="preserve">805 277,10 рублей </w:t>
      </w:r>
      <w:r>
        <w:t xml:space="preserve">по муниципальной программе Белоярского района «Охрана окружающей среды», из них: </w:t>
      </w:r>
    </w:p>
    <w:p>
      <w:pPr>
        <w:tabs>
          <w:tab w:val="left" w:pos="993"/>
        </w:tabs>
        <w:ind w:firstLine="709"/>
        <w:jc w:val="both"/>
      </w:pPr>
      <w:r>
        <w:t>- 794 277,10 рублей высвобождение финансовых средств, предусмотренных на обустройство мест (площадок) накопления ТКО в связи с переносом срока выполнения работ на следующий год;</w:t>
      </w:r>
    </w:p>
    <w:p>
      <w:pPr>
        <w:tabs>
          <w:tab w:val="left" w:pos="993"/>
        </w:tabs>
        <w:ind w:firstLine="709"/>
        <w:jc w:val="both"/>
      </w:pPr>
      <w:r>
        <w:t>- 11 000,00 рублей в связи со сложившейся экономией средств в результате уточнения расчетов стоимости услуг по контракту на проведение негосударственной экспертизы по объекту «Рекультивация территорий санкционированных свалок твердых бытовых отходов в  с.Казым Белоярского района»;</w:t>
      </w:r>
    </w:p>
    <w:p>
      <w:pPr>
        <w:tabs>
          <w:tab w:val="left" w:pos="993"/>
        </w:tabs>
        <w:ind w:firstLine="709"/>
        <w:jc w:val="both"/>
      </w:pPr>
      <w:r>
        <w:rPr>
          <w:b/>
        </w:rPr>
        <w:t xml:space="preserve">7) уменьшения </w:t>
      </w:r>
      <w:r>
        <w:t xml:space="preserve">плановых назначений в сумме </w:t>
      </w:r>
      <w:r>
        <w:rPr>
          <w:b/>
        </w:rPr>
        <w:t>16 669,66 рублей</w:t>
      </w:r>
      <w:r>
        <w:t xml:space="preserve"> по муниципальной программе Белоярского района «Управление муниципальным имуществом Белоярского района» в связи со сложившейся экономией средств в результате уточнения расчетов на выполнение работ по ремонту кабинета администрации Белоярского района;</w:t>
      </w:r>
    </w:p>
    <w:p>
      <w:pPr>
        <w:tabs>
          <w:tab w:val="left" w:pos="993"/>
        </w:tabs>
        <w:ind w:firstLine="709"/>
        <w:jc w:val="both"/>
        <w:rPr>
          <w:b/>
        </w:rPr>
      </w:pPr>
      <w:r>
        <w:rPr>
          <w:b/>
        </w:rPr>
        <w:t>8)</w:t>
      </w:r>
      <w:r>
        <w:t xml:space="preserve"> </w:t>
      </w:r>
      <w:r>
        <w:rPr>
          <w:b/>
        </w:rPr>
        <w:t xml:space="preserve">уменьшения </w:t>
      </w:r>
      <w:r>
        <w:t>плановых назначений в сумме</w:t>
      </w:r>
      <w:r>
        <w:rPr>
          <w:b/>
        </w:rPr>
        <w:t xml:space="preserve"> 11 150 455,44 рублей </w:t>
      </w:r>
      <w:r>
        <w:t>по подпрограмме</w:t>
      </w:r>
      <w:r>
        <w:rPr>
          <w:b/>
        </w:rPr>
        <w:t xml:space="preserve"> </w:t>
      </w:r>
    </w:p>
    <w:p>
      <w:pPr>
        <w:tabs>
          <w:tab w:val="left" w:pos="993"/>
        </w:tabs>
        <w:jc w:val="both"/>
      </w:pPr>
      <w:r>
        <w:t>«Развитие, совершенствование сети автомобильных дорог в Белоярском районе» муниципальной программы Белоярского района «Развитие транспортной системы Белоярского района», из них:</w:t>
      </w:r>
    </w:p>
    <w:p>
      <w:pPr>
        <w:tabs>
          <w:tab w:val="left" w:pos="993"/>
        </w:tabs>
        <w:jc w:val="both"/>
      </w:pPr>
      <w:r>
        <w:t xml:space="preserve">            - 9 491 441,52 рубль  высвобождение  финансовых  средств  предусмотренных  на освещение автомобильных дорог (ул.Ратькова, а/д Объездная, а/д Подъездная) в связи с переносом срока проведения торгов и начала выполнения работ на 2024 год;</w:t>
      </w:r>
    </w:p>
    <w:p>
      <w:pPr>
        <w:tabs>
          <w:tab w:val="left" w:pos="567"/>
          <w:tab w:val="left" w:pos="709"/>
          <w:tab w:val="left" w:pos="993"/>
        </w:tabs>
        <w:jc w:val="both"/>
      </w:pPr>
      <w:r>
        <w:t xml:space="preserve">            - 15 915,35 рублей предусмотренных на капитальный ремонт автомобильных дорог общего пользования местного значения в связи со сложившейся экономией средств в результате уточнения расчетов стоимости услуг по контракту на проведение государственной экспертизы достоверности определения сметной стоимости;</w:t>
      </w:r>
    </w:p>
    <w:p>
      <w:pPr>
        <w:tabs>
          <w:tab w:val="left" w:pos="993"/>
        </w:tabs>
        <w:jc w:val="both"/>
      </w:pPr>
      <w:r>
        <w:t xml:space="preserve">            - 416 404,00 рубля за счет высвобожденных финансовых средств местного бюджета, предусмотренных на капитальный ремонт автомобильных дорог в г.Белоярский (ул.Мира), в связи с замещением средствами, поступившими от ООО «ЛУКОЙЛ-Западная Сибирь»;</w:t>
      </w:r>
    </w:p>
    <w:p>
      <w:pPr>
        <w:tabs>
          <w:tab w:val="left" w:pos="993"/>
        </w:tabs>
        <w:jc w:val="both"/>
      </w:pPr>
      <w:r>
        <w:t xml:space="preserve">            - 1 226 694,57 рубля в связи со сложившейся экономией средств, предусмотренных на капитальный ремонт автомобильных дорог в г.Белоярский, в ходе выполнения работ;</w:t>
      </w:r>
    </w:p>
    <w:p>
      <w:pPr>
        <w:tabs>
          <w:tab w:val="left" w:pos="426"/>
          <w:tab w:val="left" w:pos="993"/>
        </w:tabs>
        <w:jc w:val="both"/>
      </w:pPr>
      <w:r>
        <w:rPr>
          <w:b/>
        </w:rPr>
        <w:t xml:space="preserve">           9) уменьшения </w:t>
      </w:r>
      <w:r>
        <w:t>плановых назначений в сумме</w:t>
      </w:r>
      <w:r>
        <w:rPr>
          <w:b/>
        </w:rPr>
        <w:t xml:space="preserve"> 60 000,00 рублей </w:t>
      </w:r>
      <w:r>
        <w:t>по подпрограмме «Долгосрочное финансовое планирование и организация бюджетного процесса» муниципальной программы Белоярского района «Управление муниципальными финансами в Белоярском районе» запланированных на обслуживание муниципального долга в связи с  досрочным погашением основного долга по бюджетному кредиту на досрочный завоз продукции (товаров), заключенному между администрацией Белоярского района и Департаментом финансов ХМАО-Югры на 2023 год;</w:t>
      </w:r>
    </w:p>
    <w:p>
      <w:pPr>
        <w:tabs>
          <w:tab w:val="left" w:pos="426"/>
          <w:tab w:val="left" w:pos="993"/>
        </w:tabs>
        <w:jc w:val="both"/>
      </w:pPr>
      <w:r>
        <w:rPr>
          <w:b/>
        </w:rPr>
        <w:t xml:space="preserve">           10) уменьшения </w:t>
      </w:r>
      <w:r>
        <w:t>плановых назначений в сумме</w:t>
      </w:r>
      <w:r>
        <w:rPr>
          <w:b/>
        </w:rPr>
        <w:t xml:space="preserve"> 17 040 331,06 рубль  </w:t>
      </w:r>
      <w:r>
        <w:t>по  муниципальной программе Белоярского района «Формирование современной городской среды» , из них:</w:t>
      </w:r>
    </w:p>
    <w:p>
      <w:pPr>
        <w:tabs>
          <w:tab w:val="left" w:pos="426"/>
          <w:tab w:val="left" w:pos="709"/>
          <w:tab w:val="left" w:pos="851"/>
          <w:tab w:val="left" w:pos="993"/>
        </w:tabs>
        <w:jc w:val="both"/>
      </w:pPr>
      <w:r>
        <w:t xml:space="preserve">            - 201 510,05 рублей высвобождение финансовых  средств  предусмотренных на благоустройство общественных территорий в связи с переносом срока исполнения контракта на 2024 год;</w:t>
      </w:r>
    </w:p>
    <w:p>
      <w:pPr>
        <w:tabs>
          <w:tab w:val="left" w:pos="426"/>
          <w:tab w:val="left" w:pos="709"/>
          <w:tab w:val="left" w:pos="851"/>
          <w:tab w:val="left" w:pos="993"/>
        </w:tabs>
        <w:jc w:val="both"/>
      </w:pPr>
      <w:r>
        <w:t xml:space="preserve">            - 16 838 821,01 рубль высвобожденных финансовых средств местного бюджета, предусмотренных на разработку рабочей документации на благоустройство Сквера Геологов, в связи с замещением средствами, поступившими от ООО «ЛУКОЙЛ-Западная Сибирь».          </w:t>
      </w:r>
    </w:p>
    <w:p>
      <w:pPr>
        <w:tabs>
          <w:tab w:val="left" w:pos="993"/>
        </w:tabs>
        <w:ind w:firstLine="709"/>
        <w:jc w:val="both"/>
        <w:rPr>
          <w:b/>
          <w:highlight w:val="yellow"/>
        </w:rPr>
      </w:pPr>
    </w:p>
    <w:p>
      <w:pPr>
        <w:ind w:firstLine="709"/>
        <w:jc w:val="both"/>
        <w:rPr>
          <w:bCs/>
          <w:color w:val="000000"/>
        </w:rPr>
      </w:pPr>
      <w:r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>
        <w:t xml:space="preserve">уменьшены бюджетные ассигнования в сумме </w:t>
      </w:r>
      <w:r>
        <w:rPr>
          <w:b/>
        </w:rPr>
        <w:t>29 064 953,82 рубля</w:t>
      </w:r>
      <w:r>
        <w:rPr>
          <w:bCs/>
          <w:color w:val="000000"/>
        </w:rPr>
        <w:t xml:space="preserve"> 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муниципальной программе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имуществом Белоярского района»</w:t>
      </w:r>
      <w:r>
        <w:t xml:space="preserve"> предусмотренные </w:t>
      </w:r>
      <w:r>
        <w:rPr>
          <w:bCs/>
          <w:color w:val="000000"/>
        </w:rPr>
        <w:t>на приобретение в муниципальную собственность помещения, расположенного по адресу 7 мкр, д.9, пом.1, для размещения молодежного центра в связи с включением в государственную программу «Сотрудничество».</w:t>
      </w:r>
    </w:p>
    <w:p>
      <w:pPr>
        <w:ind w:firstLine="709"/>
        <w:jc w:val="both"/>
        <w:rPr>
          <w:bCs/>
          <w:color w:val="000000"/>
        </w:rPr>
      </w:pPr>
    </w:p>
    <w:p>
      <w:pPr>
        <w:ind w:firstLine="709"/>
        <w:jc w:val="both"/>
      </w:pPr>
      <w:r>
        <w:rPr>
          <w:b/>
          <w:u w:val="single"/>
        </w:rPr>
        <w:t>Комитету по культуре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931 223,24 рубля</w:t>
      </w:r>
      <w:r>
        <w:t xml:space="preserve"> 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/>
        </w:rPr>
        <w:t>«Развитие культуры»</w:t>
      </w:r>
      <w:r>
        <w:t>, в том числе за счёт:</w:t>
      </w:r>
    </w:p>
    <w:p>
      <w:pPr>
        <w:pStyle w:val="25"/>
        <w:numPr>
          <w:ilvl w:val="0"/>
          <w:numId w:val="11"/>
        </w:numPr>
        <w:ind w:left="0" w:firstLine="851"/>
        <w:jc w:val="both"/>
      </w:pPr>
      <w:r>
        <w:rPr>
          <w:b/>
        </w:rPr>
        <w:t xml:space="preserve"> увеличения </w:t>
      </w:r>
      <w:r>
        <w:t xml:space="preserve">плановых назначений в сумме </w:t>
      </w:r>
      <w:r>
        <w:rPr>
          <w:b/>
        </w:rPr>
        <w:t>64 006,05 рублей</w:t>
      </w:r>
      <w:r>
        <w:t xml:space="preserve"> по подпрограмме «Повышение качества культурных услуг, предоставляемых в области библиотечного, выставочного дела», из них:</w:t>
      </w:r>
    </w:p>
    <w:p>
      <w:pPr>
        <w:pStyle w:val="25"/>
        <w:numPr>
          <w:ilvl w:val="1"/>
          <w:numId w:val="12"/>
        </w:numPr>
        <w:ind w:left="0" w:firstLine="851"/>
        <w:jc w:val="both"/>
      </w:pPr>
      <w:r>
        <w:t>) увеличения плановых назначений в сумме 123</w:t>
      </w:r>
      <w:r>
        <w:rPr>
          <w:lang w:val="en-US"/>
        </w:rPr>
        <w:t> </w:t>
      </w:r>
      <w:r>
        <w:t>413,69 рублей на обеспечение деятельности муниципального автономного учреждения культуры Белоярского района «Этнокультурный центр»;</w:t>
      </w:r>
    </w:p>
    <w:p>
      <w:pPr>
        <w:ind w:firstLine="851"/>
        <w:jc w:val="both"/>
      </w:pPr>
      <w:r>
        <w:t>1.2.) уменьшения плановых назначений в сумме 59 407,64 рублей в связи со сложившейся экономией средств, предусмотренных на компенсацию расходов стоимости проезда и провоза багажа к месту использования отпуска и обратно работников  муниципального автономного учреждения культуры Белоярского района «Белоярская централизованная библиотечная система»;</w:t>
      </w:r>
    </w:p>
    <w:p>
      <w:pPr>
        <w:ind w:firstLine="851"/>
        <w:jc w:val="both"/>
      </w:pPr>
      <w:r>
        <w:rPr>
          <w:b/>
        </w:rPr>
        <w:t>2)</w:t>
      </w:r>
      <w:r>
        <w:rPr>
          <w:b/>
        </w:rPr>
        <w:tab/>
      </w:r>
      <w:r>
        <w:rPr>
          <w:b/>
        </w:rPr>
        <w:t xml:space="preserve"> увеличения</w:t>
      </w:r>
      <w:r>
        <w:t xml:space="preserve"> плановых назначений в сумме </w:t>
      </w:r>
      <w:r>
        <w:rPr>
          <w:b/>
        </w:rPr>
        <w:t>885 564,14 рубля</w:t>
      </w:r>
      <w:r>
        <w:t xml:space="preserve"> по подпрограмме «Реализация творческого потенциала жителей Белоярского района», в том числе:</w:t>
      </w:r>
    </w:p>
    <w:p>
      <w:pPr>
        <w:tabs>
          <w:tab w:val="left" w:pos="851"/>
        </w:tabs>
        <w:ind w:firstLine="851"/>
        <w:jc w:val="both"/>
      </w:pPr>
      <w:r>
        <w:t>2.1.</w:t>
      </w:r>
      <w:r>
        <w:tab/>
      </w:r>
      <w:r>
        <w:t>) увеличения плановых назначений в сумме 868 793,53 рублей на обеспечение деятельности 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г. Белоярский»;</w:t>
      </w:r>
    </w:p>
    <w:p>
      <w:pPr>
        <w:tabs>
          <w:tab w:val="left" w:pos="851"/>
        </w:tabs>
        <w:jc w:val="both"/>
      </w:pPr>
      <w:r>
        <w:t xml:space="preserve">             2.2.) увеличения плановых назначений в сумме 16 770,61 рублей на обеспечение деятельности муниципального автономного учреждения культуры Белоярского района «Центр культуры и досуга, концертный зал «Камертон»;</w:t>
      </w:r>
    </w:p>
    <w:p>
      <w:pPr>
        <w:ind w:firstLine="960" w:firstLineChars="400"/>
        <w:jc w:val="both"/>
      </w:pPr>
      <w:r>
        <w:rPr>
          <w:b/>
        </w:rPr>
        <w:t>3)</w:t>
      </w:r>
      <w:r>
        <w:t xml:space="preserve"> 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1 096,03 рублей</w:t>
      </w:r>
      <w:r>
        <w:t xml:space="preserve"> 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 автономному учреждению Белоярского района «Белоярский информационный центр «Квадрат» в связи со сложившейся экономией средств, предусмотренных на компенсацию расходов стоимости проезда и провоза багажа к месту использования отпуска и обратно работников учреждения, а также в связи со сложившейся экономией средств, предусмотренных на выпуск фотоальбома «Белоярский – город для жизни», в результате осуществления закупочной деятельности;</w:t>
      </w:r>
    </w:p>
    <w:p>
      <w:pPr>
        <w:ind w:firstLine="960" w:firstLineChars="400"/>
        <w:jc w:val="both"/>
      </w:pPr>
      <w:r>
        <w:rPr>
          <w:b/>
        </w:rPr>
        <w:t>4) уменьшения</w:t>
      </w:r>
      <w:r>
        <w:t xml:space="preserve"> плановых назначений в сумме </w:t>
      </w:r>
      <w:r>
        <w:rPr>
          <w:b/>
        </w:rPr>
        <w:t>17 250,92 рублей</w:t>
      </w:r>
      <w:r>
        <w:t xml:space="preserve"> по подпрограмме «Развитие отраслевой инфраструктуры», в том числе:</w:t>
      </w:r>
    </w:p>
    <w:p>
      <w:pPr>
        <w:ind w:firstLine="960" w:firstLineChars="400"/>
        <w:jc w:val="both"/>
      </w:pPr>
      <w:r>
        <w:t>4.1.) уменьшения плановых назначений в сумме 12 100,92 рублей муниципальному автономному образовательному учреждению дополнительного образования детей в области культуры Белоярского района «Детская школа искусств г. Белоярский» в связи со сложившейся экономией средств, предусмотренных на приобретение мебели для оснащения Школы креативных индустрий, в результате осуществления закупочной деятельности;</w:t>
      </w:r>
    </w:p>
    <w:p>
      <w:pPr>
        <w:tabs>
          <w:tab w:val="left" w:pos="709"/>
        </w:tabs>
        <w:ind w:firstLine="960" w:firstLineChars="400"/>
        <w:jc w:val="both"/>
      </w:pPr>
      <w:r>
        <w:t>4.2.) уменьшения плановых назначений в сумме 5 150,00 рублей муниципальному автономному учреждению культуры Белоярского района «Этнокультурный центр»  в связи со сложившейся экономией средств, предусмотренных на приобретение мемориальной гранитной доски в честь венгерской ученой, этнографа и исследователя хантыйского фольклора Шмидт Евы Адамовны, в результате осуществления закупочной деятельности.</w:t>
      </w:r>
    </w:p>
    <w:p>
      <w:pPr>
        <w:ind w:firstLine="709"/>
        <w:jc w:val="both"/>
        <w:rPr>
          <w:b/>
          <w:u w:val="single"/>
        </w:rPr>
      </w:pPr>
    </w:p>
    <w:p>
      <w:pPr>
        <w:ind w:firstLine="709"/>
        <w:jc w:val="both"/>
      </w:pPr>
      <w:r>
        <w:rPr>
          <w:b/>
        </w:rPr>
        <w:t xml:space="preserve"> </w:t>
      </w: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 </w:t>
      </w:r>
      <w:r>
        <w:t xml:space="preserve">увеличены бюджетные ассигнования в сумме </w:t>
      </w:r>
      <w:r>
        <w:rPr>
          <w:b/>
        </w:rPr>
        <w:t xml:space="preserve">179 237,47 рублей </w:t>
      </w:r>
      <w:r>
        <w:t>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/>
        </w:rPr>
        <w:t>«Развитие физической культуры, спорта и молодежной политики»</w:t>
      </w:r>
      <w:r>
        <w:t>, в том числе за счёт:</w:t>
      </w:r>
    </w:p>
    <w:p>
      <w:pPr>
        <w:pStyle w:val="25"/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>
        <w:rPr>
          <w:b/>
        </w:rPr>
        <w:t xml:space="preserve"> уменьшения</w:t>
      </w:r>
      <w:r>
        <w:t xml:space="preserve"> плановых назначений в сумме </w:t>
      </w:r>
      <w:r>
        <w:rPr>
          <w:b/>
        </w:rPr>
        <w:t>4 324,44 рубля</w:t>
      </w:r>
      <w:r>
        <w:t xml:space="preserve"> по подпрограмме «Развитие физической культуры и массового спорта» муниципальному автономному учреждению физической культуры и спорта Белоярского района «Дворец спорта», из них:</w:t>
      </w:r>
    </w:p>
    <w:p>
      <w:pPr>
        <w:tabs>
          <w:tab w:val="left" w:pos="851"/>
        </w:tabs>
        <w:ind w:firstLine="709"/>
        <w:jc w:val="both"/>
      </w:pPr>
      <w:r>
        <w:t>- увеличения плановых назначений в сумме 127</w:t>
      </w:r>
      <w:r>
        <w:rPr>
          <w:lang w:val="en-US"/>
        </w:rPr>
        <w:t> </w:t>
      </w:r>
      <w:r>
        <w:t>095,00 рублей на обеспечение деятельности учреждения;</w:t>
      </w:r>
    </w:p>
    <w:p>
      <w:pPr>
        <w:tabs>
          <w:tab w:val="left" w:pos="851"/>
        </w:tabs>
        <w:ind w:firstLine="709"/>
        <w:jc w:val="both"/>
      </w:pPr>
      <w:r>
        <w:t xml:space="preserve">- уменьшения плановых назначений в сумме 131 419,44 рублей в связи со сложившейся экономией средств, предусмотренных на компенсацию расходов стоимости проезда и провоза багажа к месту использования отпуска и обратно работников учреждения; </w:t>
      </w:r>
    </w:p>
    <w:p>
      <w:pPr>
        <w:tabs>
          <w:tab w:val="left" w:pos="709"/>
        </w:tabs>
        <w:ind w:firstLine="851"/>
        <w:jc w:val="both"/>
      </w:pPr>
      <w:r>
        <w:rPr>
          <w:b/>
        </w:rPr>
        <w:t>2) увеличения</w:t>
      </w:r>
      <w:r>
        <w:t xml:space="preserve"> плановых назначений в сумме </w:t>
      </w:r>
      <w:r>
        <w:rPr>
          <w:b/>
        </w:rPr>
        <w:t>183 561,91 рубль</w:t>
      </w:r>
      <w:r>
        <w:t xml:space="preserve"> по подпрограмме «Организация отдыха и оздоровления детей» на обеспечение деятельности муниципального автономного учреждения физической культуры и спорта Белоярского района «База спорта и отдыха «Северянка».</w:t>
      </w:r>
    </w:p>
    <w:p>
      <w:pPr>
        <w:tabs>
          <w:tab w:val="left" w:pos="851"/>
        </w:tabs>
        <w:ind w:firstLine="709"/>
        <w:jc w:val="both"/>
      </w:pPr>
    </w:p>
    <w:p>
      <w:pPr>
        <w:tabs>
          <w:tab w:val="left" w:pos="567"/>
          <w:tab w:val="left" w:pos="851"/>
        </w:tabs>
        <w:ind w:firstLine="720" w:firstLineChars="300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уменьшены бюджетные ассигнования в сумме </w:t>
      </w:r>
      <w:r>
        <w:rPr>
          <w:b/>
        </w:rPr>
        <w:t>5 824 130,86 рублей</w:t>
      </w:r>
      <w:r>
        <w:t xml:space="preserve"> на реализацию муниципальной программы Белоярского района </w:t>
      </w:r>
      <w:r>
        <w:rPr>
          <w:b/>
        </w:rPr>
        <w:t>«Развитие образования»</w:t>
      </w:r>
      <w:r>
        <w:t>, в том числе за счёт:</w:t>
      </w:r>
    </w:p>
    <w:p>
      <w:pPr>
        <w:pStyle w:val="25"/>
        <w:numPr>
          <w:ilvl w:val="0"/>
          <w:numId w:val="14"/>
        </w:numPr>
        <w:tabs>
          <w:tab w:val="left" w:pos="567"/>
          <w:tab w:val="left" w:pos="851"/>
        </w:tabs>
        <w:ind w:left="0" w:firstLine="780"/>
        <w:jc w:val="both"/>
      </w:pPr>
      <w:r>
        <w:rPr>
          <w:b/>
        </w:rPr>
        <w:t xml:space="preserve"> уменьшения</w:t>
      </w:r>
      <w:r>
        <w:t xml:space="preserve"> плановых назначений в сумме </w:t>
      </w:r>
      <w:r>
        <w:rPr>
          <w:b/>
        </w:rPr>
        <w:t>5 575 132,53 рубля</w:t>
      </w:r>
      <w:r>
        <w:t xml:space="preserve"> по подпрограмме «Общее образование. Дополнительное образование детей», в том числе:</w:t>
      </w:r>
    </w:p>
    <w:p>
      <w:pPr>
        <w:tabs>
          <w:tab w:val="left" w:pos="567"/>
          <w:tab w:val="left" w:pos="851"/>
        </w:tabs>
        <w:ind w:firstLine="709"/>
        <w:jc w:val="both"/>
      </w:pPr>
      <w:r>
        <w:t>1.1.) уменьшения плановых назначений в сумме 5 656 832,53 рубля в связи со сложившейся экономией средств, предусмотренных на компенсацию расходов стоимости проезда и провоза багажа к месту использования отпуска и обратно работников  муниципальных дошкольных образовательных и общеобразовательных учреждений Белоярского района;</w:t>
      </w:r>
    </w:p>
    <w:p>
      <w:pPr>
        <w:pStyle w:val="25"/>
        <w:tabs>
          <w:tab w:val="left" w:pos="567"/>
          <w:tab w:val="left" w:pos="851"/>
        </w:tabs>
        <w:ind w:left="0" w:firstLine="709"/>
        <w:jc w:val="both"/>
      </w:pPr>
      <w:r>
        <w:t>1.2.) увеличения плановых назначений в сумме 81 700,00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им. И.Ф.Пермякова с. Полноват»;</w:t>
      </w:r>
    </w:p>
    <w:p>
      <w:pPr>
        <w:tabs>
          <w:tab w:val="left" w:pos="709"/>
          <w:tab w:val="left" w:pos="851"/>
        </w:tabs>
        <w:jc w:val="both"/>
      </w:pPr>
      <w:r>
        <w:rPr>
          <w:b/>
        </w:rPr>
        <w:t xml:space="preserve">            2)  уменьшения</w:t>
      </w:r>
      <w:r>
        <w:t xml:space="preserve">  плановых  назначений  в  сумме  </w:t>
      </w:r>
      <w:r>
        <w:rPr>
          <w:b/>
        </w:rPr>
        <w:t>248 998,33 рублей</w:t>
      </w:r>
      <w:r>
        <w:t xml:space="preserve">  по подпрограмме</w:t>
      </w:r>
    </w:p>
    <w:p>
      <w:pPr>
        <w:tabs>
          <w:tab w:val="left" w:pos="709"/>
          <w:tab w:val="left" w:pos="851"/>
        </w:tabs>
        <w:jc w:val="both"/>
      </w:pPr>
      <w:r>
        <w:t>«Ресурсное обеспечение системы образования», в том числе:</w:t>
      </w:r>
    </w:p>
    <w:p>
      <w:pPr>
        <w:tabs>
          <w:tab w:val="left" w:pos="709"/>
          <w:tab w:val="left" w:pos="851"/>
        </w:tabs>
        <w:jc w:val="both"/>
      </w:pPr>
      <w:r>
        <w:t xml:space="preserve">             - 33 971,02 рубль в связи со сложившейся экономией средств, предусмотренных на компенсацию расходов стоимости проезда и провоза багажа к месту использования отпуска и обратно работников муниципального автономного учреждения в сфере образования Белоярского района «Белоярский  методический центр»;</w:t>
      </w:r>
    </w:p>
    <w:p>
      <w:pPr>
        <w:tabs>
          <w:tab w:val="left" w:pos="709"/>
          <w:tab w:val="left" w:pos="851"/>
        </w:tabs>
        <w:jc w:val="both"/>
      </w:pPr>
      <w:r>
        <w:t xml:space="preserve">             - 215 027,31 рублей высвобождение финансовых средств, предусмотренных на устройство гидроизоляционного слоя на поверхности бетонной площадки амфитеатра  муниципального автономного дошкольного образовательного учреждения Белоярского района «Детский сад «Звёздочка» г.Белоярский.</w:t>
      </w:r>
    </w:p>
    <w:p>
      <w:pPr>
        <w:tabs>
          <w:tab w:val="left" w:pos="709"/>
          <w:tab w:val="left" w:pos="851"/>
        </w:tabs>
        <w:jc w:val="both"/>
      </w:pPr>
    </w:p>
    <w:p>
      <w:pPr>
        <w:tabs>
          <w:tab w:val="left" w:pos="851"/>
        </w:tabs>
        <w:ind w:firstLine="720" w:firstLineChars="300"/>
        <w:jc w:val="both"/>
      </w:pPr>
      <w:r>
        <w:t xml:space="preserve"> </w:t>
      </w: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 </w:t>
      </w:r>
      <w:r>
        <w:t xml:space="preserve">уменьшены бюджетные ассигнования в сумме </w:t>
      </w:r>
      <w:r>
        <w:rPr>
          <w:b/>
        </w:rPr>
        <w:t>117 958 383,10 рублей</w:t>
      </w:r>
      <w:r>
        <w:t xml:space="preserve"> на реализацию муниципальной программы Белоярского района «Управление муниципальными финансами в Белоярском районе», в том числе за счет:</w:t>
      </w:r>
    </w:p>
    <w:p>
      <w:pPr>
        <w:pStyle w:val="25"/>
        <w:numPr>
          <w:ilvl w:val="0"/>
          <w:numId w:val="15"/>
        </w:numPr>
        <w:ind w:left="0" w:firstLine="851"/>
        <w:jc w:val="both"/>
      </w:pPr>
      <w:r>
        <w:rPr>
          <w:b/>
        </w:rPr>
        <w:t xml:space="preserve"> уменьшения</w:t>
      </w:r>
      <w:r>
        <w:t xml:space="preserve"> плановых назначений в сумме </w:t>
      </w:r>
      <w:r>
        <w:rPr>
          <w:b/>
        </w:rPr>
        <w:t>109 290 435,85 рублей</w:t>
      </w:r>
      <w:r>
        <w:t xml:space="preserve"> по подпрограмме «Долгосрочное финансовое планирование и организация бюджетного процесса», в том числе:</w:t>
      </w:r>
    </w:p>
    <w:p>
      <w:pPr>
        <w:ind w:firstLine="709"/>
        <w:jc w:val="both"/>
      </w:pPr>
      <w:r>
        <w:rPr>
          <w:b/>
        </w:rPr>
        <w:t xml:space="preserve">- </w:t>
      </w:r>
      <w:r>
        <w:t>уменьшения плановых назначений в сумме 109 018 435,85 рублей</w:t>
      </w:r>
      <w:r>
        <w:rPr>
          <w:b/>
        </w:rPr>
        <w:t xml:space="preserve"> </w:t>
      </w:r>
      <w:r>
        <w:t>средств иным образом зарезервированных;</w:t>
      </w:r>
    </w:p>
    <w:p>
      <w:pPr>
        <w:ind w:firstLine="709"/>
        <w:jc w:val="both"/>
      </w:pPr>
      <w:r>
        <w:t>- уменьшения плановых назначений в сумме 272 000,00 рублей в связи со сложившейся экономией средств, предусмотренных на обеспечение деятельности Комитета по финансам и налоговой политике администрации Белоярского района;</w:t>
      </w:r>
    </w:p>
    <w:p>
      <w:pPr>
        <w:ind w:firstLine="709"/>
        <w:jc w:val="both"/>
      </w:pPr>
      <w:r>
        <w:rPr>
          <w:b/>
        </w:rPr>
        <w:t>2) уменьшения</w:t>
      </w:r>
      <w:r>
        <w:t xml:space="preserve"> плановых назначений в сумме </w:t>
      </w:r>
      <w:r>
        <w:rPr>
          <w:b/>
        </w:rPr>
        <w:t>8 667 947,25 рублей</w:t>
      </w:r>
      <w:r>
        <w:t xml:space="preserve"> по подпрограмме «Совершенствование межбюджетных отношений», в том числе:</w:t>
      </w:r>
    </w:p>
    <w:p>
      <w:pPr>
        <w:tabs>
          <w:tab w:val="left" w:pos="993"/>
        </w:tabs>
        <w:ind w:firstLine="709"/>
        <w:jc w:val="both"/>
      </w:pPr>
      <w:r>
        <w:t>- уменьшения плановых назначений в сумме 1 543 327,00 рублей предусмотренных на предоставление иных межбюджетных трансфертов сельскому поселению Верхнеказымский для обеспечения сбалансированности в связи с уточнением собственных доходов бюджета поселения;</w:t>
      </w:r>
    </w:p>
    <w:p>
      <w:pPr>
        <w:tabs>
          <w:tab w:val="left" w:pos="993"/>
        </w:tabs>
        <w:ind w:firstLine="709"/>
        <w:jc w:val="both"/>
      </w:pPr>
      <w:r>
        <w:t>- уменьшения плановых назначений в сумме 2 700 514,91 рублей предусмотренных на предоставление иных межбюджетных трансфертов сельскому поселению Лыхма для обеспечения сбалансированности в связи с уточнением собственных доходов бюджета поселения;</w:t>
      </w:r>
    </w:p>
    <w:p>
      <w:pPr>
        <w:tabs>
          <w:tab w:val="left" w:pos="993"/>
        </w:tabs>
        <w:ind w:firstLine="709"/>
        <w:jc w:val="both"/>
      </w:pPr>
      <w:r>
        <w:t>- уменьшения плановых назначений в сумме 2 758 638,77 рублей предусмотренных на предоставление иных межбюджетных трансфертов сельскому поселению Сорум для обеспечения сбалансированности в связи с уточнением собственных доходов бюджета поселения;</w:t>
      </w:r>
    </w:p>
    <w:p>
      <w:pPr>
        <w:tabs>
          <w:tab w:val="left" w:pos="993"/>
        </w:tabs>
        <w:ind w:firstLine="709"/>
        <w:jc w:val="both"/>
      </w:pPr>
      <w:r>
        <w:t>- уменьшения плановых назначений в сумме 2 981 331,13 рубль предусмотренных на предоставление иных межбюджетных трансфертов сельскому поселению Сосновка для обеспечения сбалансированности в связи с уточнением собственных доходов бюджета поселения;</w:t>
      </w:r>
    </w:p>
    <w:p>
      <w:pPr>
        <w:tabs>
          <w:tab w:val="left" w:pos="993"/>
        </w:tabs>
        <w:jc w:val="both"/>
      </w:pPr>
      <w:r>
        <w:t xml:space="preserve">            - увеличения плановых назначений в сумме 656 037,85 рублей для предоставления иных межбюджетных трансфертов на обеспечение сбалансированности бюджета сельского поселения Полноват;</w:t>
      </w:r>
    </w:p>
    <w:p>
      <w:pPr>
        <w:tabs>
          <w:tab w:val="left" w:pos="993"/>
        </w:tabs>
        <w:ind w:firstLine="709"/>
        <w:jc w:val="both"/>
      </w:pPr>
      <w:r>
        <w:t>- увеличения плановых назначений в сумме 659 826,71 рублей для предоставления иных межбюджетных трансфертов на обеспечение сбалансированности бюджета сельского поселения Казым;</w:t>
      </w:r>
    </w:p>
    <w:p>
      <w:pPr>
        <w:tabs>
          <w:tab w:val="left" w:pos="993"/>
        </w:tabs>
        <w:ind w:firstLine="709"/>
        <w:jc w:val="both"/>
      </w:pPr>
    </w:p>
    <w:p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Расходы бюджета Белоярского района на 2024 год</w:t>
      </w:r>
      <w:r>
        <w:t xml:space="preserve"> предлагается увеличить на          186 896 400,00 рублей за счет корректировки целевых субсидий. В результате общий объем расходов бюджета района на 2024 год составит 4 152 526 800,00 рублей.</w:t>
      </w:r>
    </w:p>
    <w:p>
      <w:pPr>
        <w:tabs>
          <w:tab w:val="left" w:pos="993"/>
        </w:tabs>
        <w:ind w:firstLine="709"/>
        <w:jc w:val="both"/>
      </w:pPr>
    </w:p>
    <w:p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Расходы бюджета Белоярского района на 2025 год</w:t>
      </w:r>
      <w:r>
        <w:t xml:space="preserve"> предлагается уменьшить на               14 500 000,00 рублей за счет корректировки целевых субсидий. В результате общий объем расходов бюджета района на 2025 год  составит  3 524 806 800,00 рублей.</w:t>
      </w:r>
    </w:p>
    <w:p>
      <w:pPr>
        <w:tabs>
          <w:tab w:val="left" w:pos="993"/>
        </w:tabs>
        <w:ind w:firstLine="709"/>
        <w:jc w:val="both"/>
      </w:pPr>
    </w:p>
    <w:p>
      <w:pPr>
        <w:tabs>
          <w:tab w:val="left" w:pos="993"/>
        </w:tabs>
        <w:ind w:firstLine="709"/>
        <w:jc w:val="both"/>
        <w:rPr>
          <w:color w:val="FF0000"/>
          <w:highlight w:val="yellow"/>
        </w:rPr>
      </w:pPr>
    </w:p>
    <w:p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>
      <w:pPr>
        <w:tabs>
          <w:tab w:val="left" w:pos="993"/>
        </w:tabs>
        <w:ind w:firstLine="709"/>
        <w:jc w:val="both"/>
      </w:pPr>
    </w:p>
    <w:p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>
      <w:pPr>
        <w:tabs>
          <w:tab w:val="left" w:pos="993"/>
        </w:tabs>
        <w:ind w:firstLine="709"/>
        <w:jc w:val="center"/>
        <w:rPr>
          <w:b/>
          <w:highlight w:val="yellow"/>
        </w:rPr>
      </w:pPr>
    </w:p>
    <w:p>
      <w:pPr>
        <w:tabs>
          <w:tab w:val="left" w:pos="993"/>
        </w:tabs>
        <w:ind w:firstLine="709"/>
        <w:jc w:val="center"/>
        <w:rPr>
          <w:b/>
        </w:rPr>
      </w:pPr>
    </w:p>
    <w:p>
      <w:pPr>
        <w:tabs>
          <w:tab w:val="left" w:pos="993"/>
        </w:tabs>
        <w:ind w:firstLine="709"/>
        <w:jc w:val="center"/>
        <w:rPr>
          <w:b/>
        </w:rPr>
      </w:pPr>
      <w:r>
        <w:rPr>
          <w:b/>
        </w:rPr>
        <w:t>ИСТОЧНИКИ</w:t>
      </w:r>
    </w:p>
    <w:p>
      <w:pPr>
        <w:tabs>
          <w:tab w:val="left" w:pos="993"/>
        </w:tabs>
        <w:ind w:firstLine="709"/>
        <w:jc w:val="both"/>
      </w:pPr>
    </w:p>
    <w:p>
      <w:pPr>
        <w:tabs>
          <w:tab w:val="left" w:pos="993"/>
        </w:tabs>
        <w:ind w:firstLine="709"/>
        <w:jc w:val="both"/>
      </w:pPr>
      <w:r>
        <w:t xml:space="preserve">Прогнозируемый дефицит бюджета района на 2023 год предлагается утвердить в сумме </w:t>
      </w:r>
      <w:r>
        <w:rPr>
          <w:b/>
          <w:bCs/>
        </w:rPr>
        <w:t>61 322 545,94</w:t>
      </w:r>
      <w:r>
        <w:rPr>
          <w:b/>
        </w:rPr>
        <w:t xml:space="preserve"> рублей</w:t>
      </w:r>
      <w:r>
        <w:rPr>
          <w:bCs/>
        </w:rPr>
        <w:t>. О</w:t>
      </w:r>
      <w:r>
        <w:t>беспечением дефицита бюджета района являются остатки средств на счете бюджета района на 1 января 2023 года.</w:t>
      </w:r>
    </w:p>
    <w:p>
      <w:pPr>
        <w:tabs>
          <w:tab w:val="left" w:pos="993"/>
        </w:tabs>
        <w:jc w:val="both"/>
      </w:pPr>
      <w:r>
        <w:t xml:space="preserve">            </w:t>
      </w:r>
    </w:p>
    <w:p>
      <w:pPr>
        <w:ind w:left="9" w:firstLine="1"/>
        <w:jc w:val="both"/>
      </w:pPr>
      <w:r>
        <w:t xml:space="preserve">                </w:t>
      </w:r>
    </w:p>
    <w:p>
      <w:pPr>
        <w:ind w:left="9" w:firstLine="1"/>
        <w:jc w:val="both"/>
        <w:rPr>
          <w:b/>
        </w:rPr>
      </w:pPr>
      <w:r>
        <w:t xml:space="preserve">            </w:t>
      </w: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>
      <w:pPr>
        <w:tabs>
          <w:tab w:val="left" w:pos="993"/>
        </w:tabs>
        <w:ind w:firstLine="709"/>
        <w:jc w:val="both"/>
      </w:pPr>
    </w:p>
    <w:p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>
      <w:pPr>
        <w:tabs>
          <w:tab w:val="left" w:pos="993"/>
        </w:tabs>
        <w:ind w:firstLine="709"/>
        <w:jc w:val="both"/>
      </w:pPr>
    </w:p>
    <w:p>
      <w:pPr>
        <w:ind w:firstLine="709"/>
        <w:jc w:val="both"/>
      </w:pPr>
      <w:r>
        <w:t xml:space="preserve">                                               ______________________</w:t>
      </w:r>
    </w:p>
    <w:p>
      <w:pPr>
        <w:ind w:firstLine="709"/>
        <w:jc w:val="both"/>
      </w:pPr>
    </w:p>
    <w:p>
      <w:pPr>
        <w:ind w:firstLine="709"/>
        <w:jc w:val="both"/>
      </w:pPr>
    </w:p>
    <w:p>
      <w:pPr>
        <w:ind w:firstLine="709"/>
        <w:jc w:val="both"/>
      </w:pPr>
    </w:p>
    <w:sectPr>
      <w:headerReference r:id="rId3" w:type="default"/>
      <w:pgSz w:w="11906" w:h="16838"/>
      <w:pgMar w:top="1693" w:right="850" w:bottom="1134" w:left="1418" w:header="1134" w:footer="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panose1 w:val="02020603050405020304"/>
    <w:charset w:val="CC"/>
    <w:family w:val="roman"/>
    <w:pitch w:val="default"/>
    <w:sig w:usb0="00000000" w:usb1="00000000" w:usb2="00000021" w:usb3="00000000" w:csb0="000001B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</w:instrText>
    </w:r>
    <w:r>
      <w:fldChar w:fldCharType="separate"/>
    </w:r>
    <w: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607CAD"/>
    <w:multiLevelType w:val="singleLevel"/>
    <w:tmpl w:val="8F607CAD"/>
    <w:lvl w:ilvl="0" w:tentative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">
    <w:nsid w:val="A5B0A475"/>
    <w:multiLevelType w:val="singleLevel"/>
    <w:tmpl w:val="A5B0A475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B4CBC919"/>
    <w:multiLevelType w:val="singleLevel"/>
    <w:tmpl w:val="B4CBC919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CFF0DBAA"/>
    <w:multiLevelType w:val="singleLevel"/>
    <w:tmpl w:val="CFF0DBAA"/>
    <w:lvl w:ilvl="0" w:tentative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4">
    <w:nsid w:val="0ECE2463"/>
    <w:multiLevelType w:val="multilevel"/>
    <w:tmpl w:val="0ECE2463"/>
    <w:lvl w:ilvl="0" w:tentative="0">
      <w:start w:val="1"/>
      <w:numFmt w:val="decimal"/>
      <w:lvlText w:val="%1)"/>
      <w:lvlJc w:val="left"/>
      <w:pPr>
        <w:ind w:left="1301" w:hanging="45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931" w:hanging="360"/>
      </w:pPr>
    </w:lvl>
    <w:lvl w:ilvl="2" w:tentative="0">
      <w:start w:val="1"/>
      <w:numFmt w:val="lowerRoman"/>
      <w:lvlText w:val="%3."/>
      <w:lvlJc w:val="right"/>
      <w:pPr>
        <w:ind w:left="2651" w:hanging="180"/>
      </w:pPr>
    </w:lvl>
    <w:lvl w:ilvl="3" w:tentative="0">
      <w:start w:val="1"/>
      <w:numFmt w:val="decimal"/>
      <w:lvlText w:val="%4."/>
      <w:lvlJc w:val="left"/>
      <w:pPr>
        <w:ind w:left="3371" w:hanging="360"/>
      </w:pPr>
    </w:lvl>
    <w:lvl w:ilvl="4" w:tentative="0">
      <w:start w:val="1"/>
      <w:numFmt w:val="lowerLetter"/>
      <w:lvlText w:val="%5."/>
      <w:lvlJc w:val="left"/>
      <w:pPr>
        <w:ind w:left="4091" w:hanging="360"/>
      </w:pPr>
    </w:lvl>
    <w:lvl w:ilvl="5" w:tentative="0">
      <w:start w:val="1"/>
      <w:numFmt w:val="lowerRoman"/>
      <w:lvlText w:val="%6."/>
      <w:lvlJc w:val="right"/>
      <w:pPr>
        <w:ind w:left="4811" w:hanging="180"/>
      </w:pPr>
    </w:lvl>
    <w:lvl w:ilvl="6" w:tentative="0">
      <w:start w:val="1"/>
      <w:numFmt w:val="decimal"/>
      <w:lvlText w:val="%7."/>
      <w:lvlJc w:val="left"/>
      <w:pPr>
        <w:ind w:left="5531" w:hanging="360"/>
      </w:pPr>
    </w:lvl>
    <w:lvl w:ilvl="7" w:tentative="0">
      <w:start w:val="1"/>
      <w:numFmt w:val="lowerLetter"/>
      <w:lvlText w:val="%8."/>
      <w:lvlJc w:val="left"/>
      <w:pPr>
        <w:ind w:left="6251" w:hanging="360"/>
      </w:pPr>
    </w:lvl>
    <w:lvl w:ilvl="8" w:tentative="0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2DD4B4A"/>
    <w:multiLevelType w:val="singleLevel"/>
    <w:tmpl w:val="12DD4B4A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1A6F5216"/>
    <w:multiLevelType w:val="multilevel"/>
    <w:tmpl w:val="1A6F5216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>
    <w:nsid w:val="1E445FAE"/>
    <w:multiLevelType w:val="multilevel"/>
    <w:tmpl w:val="1E445FAE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ED4625"/>
    <w:multiLevelType w:val="multilevel"/>
    <w:tmpl w:val="33ED4625"/>
    <w:lvl w:ilvl="0" w:tentative="0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D62EE"/>
    <w:multiLevelType w:val="multilevel"/>
    <w:tmpl w:val="419D62EE"/>
    <w:lvl w:ilvl="0" w:tentative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0">
    <w:nsid w:val="48035593"/>
    <w:multiLevelType w:val="multilevel"/>
    <w:tmpl w:val="48035593"/>
    <w:lvl w:ilvl="0" w:tentative="0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648" w:hanging="360"/>
      </w:pPr>
    </w:lvl>
    <w:lvl w:ilvl="2" w:tentative="0">
      <w:start w:val="1"/>
      <w:numFmt w:val="lowerRoman"/>
      <w:lvlText w:val="%3."/>
      <w:lvlJc w:val="right"/>
      <w:pPr>
        <w:ind w:left="2368" w:hanging="180"/>
      </w:pPr>
    </w:lvl>
    <w:lvl w:ilvl="3" w:tentative="0">
      <w:start w:val="1"/>
      <w:numFmt w:val="decimal"/>
      <w:lvlText w:val="%4."/>
      <w:lvlJc w:val="left"/>
      <w:pPr>
        <w:ind w:left="3088" w:hanging="360"/>
      </w:pPr>
    </w:lvl>
    <w:lvl w:ilvl="4" w:tentative="0">
      <w:start w:val="1"/>
      <w:numFmt w:val="lowerLetter"/>
      <w:lvlText w:val="%5."/>
      <w:lvlJc w:val="left"/>
      <w:pPr>
        <w:ind w:left="3808" w:hanging="360"/>
      </w:pPr>
    </w:lvl>
    <w:lvl w:ilvl="5" w:tentative="0">
      <w:start w:val="1"/>
      <w:numFmt w:val="lowerRoman"/>
      <w:lvlText w:val="%6."/>
      <w:lvlJc w:val="right"/>
      <w:pPr>
        <w:ind w:left="4528" w:hanging="180"/>
      </w:pPr>
    </w:lvl>
    <w:lvl w:ilvl="6" w:tentative="0">
      <w:start w:val="1"/>
      <w:numFmt w:val="decimal"/>
      <w:lvlText w:val="%7."/>
      <w:lvlJc w:val="left"/>
      <w:pPr>
        <w:ind w:left="5248" w:hanging="360"/>
      </w:pPr>
    </w:lvl>
    <w:lvl w:ilvl="7" w:tentative="0">
      <w:start w:val="1"/>
      <w:numFmt w:val="lowerLetter"/>
      <w:lvlText w:val="%8."/>
      <w:lvlJc w:val="left"/>
      <w:pPr>
        <w:ind w:left="5968" w:hanging="360"/>
      </w:pPr>
    </w:lvl>
    <w:lvl w:ilvl="8" w:tentative="0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9845E69"/>
    <w:multiLevelType w:val="multilevel"/>
    <w:tmpl w:val="59845E69"/>
    <w:lvl w:ilvl="0" w:tentative="0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12">
    <w:nsid w:val="5E33742D"/>
    <w:multiLevelType w:val="singleLevel"/>
    <w:tmpl w:val="5E33742D"/>
    <w:lvl w:ilvl="0" w:tentative="0">
      <w:start w:val="4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3">
    <w:nsid w:val="64E60DE3"/>
    <w:multiLevelType w:val="multilevel"/>
    <w:tmpl w:val="64E60DE3"/>
    <w:lvl w:ilvl="0" w:tentative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 w:tentative="0">
      <w:start w:val="1"/>
      <w:numFmt w:val="decimal"/>
      <w:lvlText w:val="%1.%2.)%3."/>
      <w:lvlJc w:val="left"/>
      <w:pPr>
        <w:ind w:left="2422" w:hanging="720"/>
      </w:pPr>
      <w:rPr>
        <w:rFonts w:hint="default"/>
      </w:rPr>
    </w:lvl>
    <w:lvl w:ilvl="3" w:tentative="0">
      <w:start w:val="1"/>
      <w:numFmt w:val="decimal"/>
      <w:lvlText w:val="%1.%2.)%3.%4."/>
      <w:lvlJc w:val="left"/>
      <w:pPr>
        <w:ind w:left="3633" w:hanging="1080"/>
      </w:pPr>
      <w:rPr>
        <w:rFonts w:hint="default"/>
      </w:rPr>
    </w:lvl>
    <w:lvl w:ilvl="4" w:tentative="0">
      <w:start w:val="1"/>
      <w:numFmt w:val="decimal"/>
      <w:lvlText w:val="%1.%2.)%3.%4.%5."/>
      <w:lvlJc w:val="left"/>
      <w:pPr>
        <w:ind w:left="4484" w:hanging="1080"/>
      </w:pPr>
      <w:rPr>
        <w:rFonts w:hint="default"/>
      </w:rPr>
    </w:lvl>
    <w:lvl w:ilvl="5" w:tentative="0">
      <w:start w:val="1"/>
      <w:numFmt w:val="decimal"/>
      <w:lvlText w:val="%1.%2.)%3.%4.%5.%6."/>
      <w:lvlJc w:val="left"/>
      <w:pPr>
        <w:ind w:left="5695" w:hanging="1440"/>
      </w:pPr>
      <w:rPr>
        <w:rFonts w:hint="default"/>
      </w:rPr>
    </w:lvl>
    <w:lvl w:ilvl="6" w:tentative="0">
      <w:start w:val="1"/>
      <w:numFmt w:val="decimal"/>
      <w:lvlText w:val="%1.%2.)%3.%4.%5.%6.%7."/>
      <w:lvlJc w:val="left"/>
      <w:pPr>
        <w:ind w:left="6546" w:hanging="1440"/>
      </w:pPr>
      <w:rPr>
        <w:rFonts w:hint="default"/>
      </w:rPr>
    </w:lvl>
    <w:lvl w:ilvl="7" w:tentative="0">
      <w:start w:val="1"/>
      <w:numFmt w:val="decimal"/>
      <w:lvlText w:val="%1.%2.)%3.%4.%5.%6.%7.%8."/>
      <w:lvlJc w:val="left"/>
      <w:pPr>
        <w:ind w:left="7757" w:hanging="1800"/>
      </w:pPr>
      <w:rPr>
        <w:rFonts w:hint="default"/>
      </w:rPr>
    </w:lvl>
    <w:lvl w:ilvl="8" w:tentative="0">
      <w:start w:val="1"/>
      <w:numFmt w:val="decimal"/>
      <w:lvlText w:val="%1.%2.)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73AF4BEB"/>
    <w:multiLevelType w:val="multilevel"/>
    <w:tmpl w:val="73AF4BEB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860" w:hanging="360"/>
      </w:pPr>
    </w:lvl>
    <w:lvl w:ilvl="2" w:tentative="0">
      <w:start w:val="1"/>
      <w:numFmt w:val="lowerRoman"/>
      <w:lvlText w:val="%3."/>
      <w:lvlJc w:val="right"/>
      <w:pPr>
        <w:ind w:left="2580" w:hanging="180"/>
      </w:pPr>
    </w:lvl>
    <w:lvl w:ilvl="3" w:tentative="0">
      <w:start w:val="1"/>
      <w:numFmt w:val="decimal"/>
      <w:lvlText w:val="%4."/>
      <w:lvlJc w:val="left"/>
      <w:pPr>
        <w:ind w:left="3300" w:hanging="360"/>
      </w:pPr>
    </w:lvl>
    <w:lvl w:ilvl="4" w:tentative="0">
      <w:start w:val="1"/>
      <w:numFmt w:val="lowerLetter"/>
      <w:lvlText w:val="%5."/>
      <w:lvlJc w:val="left"/>
      <w:pPr>
        <w:ind w:left="4020" w:hanging="360"/>
      </w:pPr>
    </w:lvl>
    <w:lvl w:ilvl="5" w:tentative="0">
      <w:start w:val="1"/>
      <w:numFmt w:val="lowerRoman"/>
      <w:lvlText w:val="%6."/>
      <w:lvlJc w:val="right"/>
      <w:pPr>
        <w:ind w:left="4740" w:hanging="180"/>
      </w:pPr>
    </w:lvl>
    <w:lvl w:ilvl="6" w:tentative="0">
      <w:start w:val="1"/>
      <w:numFmt w:val="decimal"/>
      <w:lvlText w:val="%7."/>
      <w:lvlJc w:val="left"/>
      <w:pPr>
        <w:ind w:left="5460" w:hanging="360"/>
      </w:pPr>
    </w:lvl>
    <w:lvl w:ilvl="7" w:tentative="0">
      <w:start w:val="1"/>
      <w:numFmt w:val="lowerLetter"/>
      <w:lvlText w:val="%8."/>
      <w:lvlJc w:val="left"/>
      <w:pPr>
        <w:ind w:left="6180" w:hanging="360"/>
      </w:pPr>
    </w:lvl>
    <w:lvl w:ilvl="8" w:tentative="0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3"/>
  </w:num>
  <w:num w:numId="6">
    <w:abstractNumId w:val="12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11"/>
  </w:num>
  <w:num w:numId="12">
    <w:abstractNumId w:val="13"/>
  </w:num>
  <w:num w:numId="13">
    <w:abstractNumId w:val="10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74B"/>
    <w:rsid w:val="00000AA7"/>
    <w:rsid w:val="00000CD1"/>
    <w:rsid w:val="00035215"/>
    <w:rsid w:val="0004435C"/>
    <w:rsid w:val="00055CE9"/>
    <w:rsid w:val="0006166F"/>
    <w:rsid w:val="00066B08"/>
    <w:rsid w:val="000773AA"/>
    <w:rsid w:val="00077FF2"/>
    <w:rsid w:val="000966D0"/>
    <w:rsid w:val="000A0254"/>
    <w:rsid w:val="000A7E97"/>
    <w:rsid w:val="000B0910"/>
    <w:rsid w:val="000B7DCA"/>
    <w:rsid w:val="000C0A33"/>
    <w:rsid w:val="000C3249"/>
    <w:rsid w:val="000C49E7"/>
    <w:rsid w:val="000C4FB6"/>
    <w:rsid w:val="000E3164"/>
    <w:rsid w:val="000E46CD"/>
    <w:rsid w:val="000E6DA0"/>
    <w:rsid w:val="000F301A"/>
    <w:rsid w:val="000F47F4"/>
    <w:rsid w:val="000F5246"/>
    <w:rsid w:val="000F65D7"/>
    <w:rsid w:val="000F71F5"/>
    <w:rsid w:val="00105830"/>
    <w:rsid w:val="00105C3E"/>
    <w:rsid w:val="00113D90"/>
    <w:rsid w:val="0012240A"/>
    <w:rsid w:val="00130C68"/>
    <w:rsid w:val="001338B8"/>
    <w:rsid w:val="00141738"/>
    <w:rsid w:val="00144534"/>
    <w:rsid w:val="00144E77"/>
    <w:rsid w:val="00145AFD"/>
    <w:rsid w:val="00147944"/>
    <w:rsid w:val="00157CDA"/>
    <w:rsid w:val="00165D50"/>
    <w:rsid w:val="00167A09"/>
    <w:rsid w:val="00172A27"/>
    <w:rsid w:val="00180268"/>
    <w:rsid w:val="00182EA5"/>
    <w:rsid w:val="00184CA6"/>
    <w:rsid w:val="00195FCC"/>
    <w:rsid w:val="001B5261"/>
    <w:rsid w:val="001C1EB7"/>
    <w:rsid w:val="001C37C7"/>
    <w:rsid w:val="001C41E7"/>
    <w:rsid w:val="001C7522"/>
    <w:rsid w:val="001D0241"/>
    <w:rsid w:val="001E2648"/>
    <w:rsid w:val="001E5366"/>
    <w:rsid w:val="001F0294"/>
    <w:rsid w:val="001F0409"/>
    <w:rsid w:val="002074FE"/>
    <w:rsid w:val="0021116A"/>
    <w:rsid w:val="00217E78"/>
    <w:rsid w:val="002258D1"/>
    <w:rsid w:val="002269DE"/>
    <w:rsid w:val="00240F24"/>
    <w:rsid w:val="00245D34"/>
    <w:rsid w:val="00264F96"/>
    <w:rsid w:val="00275D93"/>
    <w:rsid w:val="00291A1D"/>
    <w:rsid w:val="00294D75"/>
    <w:rsid w:val="00295E52"/>
    <w:rsid w:val="00295F75"/>
    <w:rsid w:val="002A0187"/>
    <w:rsid w:val="002A3A3D"/>
    <w:rsid w:val="002A60A7"/>
    <w:rsid w:val="002A627D"/>
    <w:rsid w:val="002A6D92"/>
    <w:rsid w:val="002B2345"/>
    <w:rsid w:val="002C46CB"/>
    <w:rsid w:val="002E5278"/>
    <w:rsid w:val="002E5909"/>
    <w:rsid w:val="002F4881"/>
    <w:rsid w:val="002F4882"/>
    <w:rsid w:val="0030135F"/>
    <w:rsid w:val="003207E6"/>
    <w:rsid w:val="003235FB"/>
    <w:rsid w:val="003244A6"/>
    <w:rsid w:val="003300FA"/>
    <w:rsid w:val="003532DE"/>
    <w:rsid w:val="00357AC1"/>
    <w:rsid w:val="003618C9"/>
    <w:rsid w:val="00362C34"/>
    <w:rsid w:val="0036584C"/>
    <w:rsid w:val="00366D46"/>
    <w:rsid w:val="00370C21"/>
    <w:rsid w:val="00371999"/>
    <w:rsid w:val="00386680"/>
    <w:rsid w:val="00387A23"/>
    <w:rsid w:val="00387BAC"/>
    <w:rsid w:val="0039167D"/>
    <w:rsid w:val="00393FB3"/>
    <w:rsid w:val="003A57B4"/>
    <w:rsid w:val="003B1E1E"/>
    <w:rsid w:val="003C5012"/>
    <w:rsid w:val="003E31EF"/>
    <w:rsid w:val="003F1634"/>
    <w:rsid w:val="003F1900"/>
    <w:rsid w:val="004015A7"/>
    <w:rsid w:val="00401CD9"/>
    <w:rsid w:val="004113A6"/>
    <w:rsid w:val="00413F01"/>
    <w:rsid w:val="00427B3C"/>
    <w:rsid w:val="00442218"/>
    <w:rsid w:val="004536BD"/>
    <w:rsid w:val="00455FC9"/>
    <w:rsid w:val="004727B3"/>
    <w:rsid w:val="0047328A"/>
    <w:rsid w:val="00474B5D"/>
    <w:rsid w:val="004809CD"/>
    <w:rsid w:val="004822D5"/>
    <w:rsid w:val="004A5EA3"/>
    <w:rsid w:val="004B0090"/>
    <w:rsid w:val="004B3E4D"/>
    <w:rsid w:val="004C3CF0"/>
    <w:rsid w:val="004D42AB"/>
    <w:rsid w:val="004E2FBD"/>
    <w:rsid w:val="004F29AC"/>
    <w:rsid w:val="004F594B"/>
    <w:rsid w:val="00530871"/>
    <w:rsid w:val="0053088C"/>
    <w:rsid w:val="0053168B"/>
    <w:rsid w:val="005318CB"/>
    <w:rsid w:val="0053197F"/>
    <w:rsid w:val="005412CF"/>
    <w:rsid w:val="00542F6E"/>
    <w:rsid w:val="0054522B"/>
    <w:rsid w:val="00546A64"/>
    <w:rsid w:val="00556392"/>
    <w:rsid w:val="00560D49"/>
    <w:rsid w:val="005617D8"/>
    <w:rsid w:val="00562568"/>
    <w:rsid w:val="005702EC"/>
    <w:rsid w:val="00574B5B"/>
    <w:rsid w:val="005762D9"/>
    <w:rsid w:val="00576B55"/>
    <w:rsid w:val="005A4BA5"/>
    <w:rsid w:val="005B3DE9"/>
    <w:rsid w:val="005B50AC"/>
    <w:rsid w:val="005C2918"/>
    <w:rsid w:val="005C6039"/>
    <w:rsid w:val="005D0376"/>
    <w:rsid w:val="005D09A2"/>
    <w:rsid w:val="005D2718"/>
    <w:rsid w:val="005D5870"/>
    <w:rsid w:val="005D599E"/>
    <w:rsid w:val="005E7D34"/>
    <w:rsid w:val="005F3354"/>
    <w:rsid w:val="0060145F"/>
    <w:rsid w:val="0060338B"/>
    <w:rsid w:val="0062432D"/>
    <w:rsid w:val="00635FF1"/>
    <w:rsid w:val="00636675"/>
    <w:rsid w:val="00637629"/>
    <w:rsid w:val="00641A04"/>
    <w:rsid w:val="006432B2"/>
    <w:rsid w:val="00643CA5"/>
    <w:rsid w:val="00644A9B"/>
    <w:rsid w:val="006539BF"/>
    <w:rsid w:val="00654F05"/>
    <w:rsid w:val="00667F7E"/>
    <w:rsid w:val="00670645"/>
    <w:rsid w:val="00673EA3"/>
    <w:rsid w:val="0068087C"/>
    <w:rsid w:val="00685D9B"/>
    <w:rsid w:val="006A107B"/>
    <w:rsid w:val="006A6520"/>
    <w:rsid w:val="006C0C28"/>
    <w:rsid w:val="006C47FC"/>
    <w:rsid w:val="007041B3"/>
    <w:rsid w:val="00704C5E"/>
    <w:rsid w:val="007100A9"/>
    <w:rsid w:val="007129CD"/>
    <w:rsid w:val="007139FE"/>
    <w:rsid w:val="00741F6D"/>
    <w:rsid w:val="007523BE"/>
    <w:rsid w:val="00753377"/>
    <w:rsid w:val="00754C8B"/>
    <w:rsid w:val="0075788C"/>
    <w:rsid w:val="007667E3"/>
    <w:rsid w:val="00771D74"/>
    <w:rsid w:val="00773373"/>
    <w:rsid w:val="00775973"/>
    <w:rsid w:val="00781BFD"/>
    <w:rsid w:val="00787F0E"/>
    <w:rsid w:val="0079685F"/>
    <w:rsid w:val="007A11AD"/>
    <w:rsid w:val="007A5093"/>
    <w:rsid w:val="007A5A5A"/>
    <w:rsid w:val="007B4E68"/>
    <w:rsid w:val="007C5488"/>
    <w:rsid w:val="007E67A0"/>
    <w:rsid w:val="007E6839"/>
    <w:rsid w:val="007E6F0D"/>
    <w:rsid w:val="007E71A5"/>
    <w:rsid w:val="007E72B0"/>
    <w:rsid w:val="007F65DA"/>
    <w:rsid w:val="008103E8"/>
    <w:rsid w:val="0083401E"/>
    <w:rsid w:val="00853424"/>
    <w:rsid w:val="00865E24"/>
    <w:rsid w:val="0087237C"/>
    <w:rsid w:val="00872C1C"/>
    <w:rsid w:val="00882AD1"/>
    <w:rsid w:val="00885CE4"/>
    <w:rsid w:val="008910B0"/>
    <w:rsid w:val="008A08B4"/>
    <w:rsid w:val="008A4742"/>
    <w:rsid w:val="008A5556"/>
    <w:rsid w:val="008B32F6"/>
    <w:rsid w:val="008B515D"/>
    <w:rsid w:val="008C02A8"/>
    <w:rsid w:val="008C3003"/>
    <w:rsid w:val="008D08E2"/>
    <w:rsid w:val="008D65E2"/>
    <w:rsid w:val="008E37F9"/>
    <w:rsid w:val="0090399B"/>
    <w:rsid w:val="00926C62"/>
    <w:rsid w:val="00942073"/>
    <w:rsid w:val="00944E0B"/>
    <w:rsid w:val="009466AC"/>
    <w:rsid w:val="00947169"/>
    <w:rsid w:val="00954844"/>
    <w:rsid w:val="00963E92"/>
    <w:rsid w:val="00967CD0"/>
    <w:rsid w:val="009766BD"/>
    <w:rsid w:val="00985455"/>
    <w:rsid w:val="009A67E8"/>
    <w:rsid w:val="009B5953"/>
    <w:rsid w:val="009E6BEF"/>
    <w:rsid w:val="009F5EA1"/>
    <w:rsid w:val="00A01619"/>
    <w:rsid w:val="00A040AF"/>
    <w:rsid w:val="00A24975"/>
    <w:rsid w:val="00A3395D"/>
    <w:rsid w:val="00A3401E"/>
    <w:rsid w:val="00A473C3"/>
    <w:rsid w:val="00A50105"/>
    <w:rsid w:val="00A512F4"/>
    <w:rsid w:val="00A55024"/>
    <w:rsid w:val="00A674CA"/>
    <w:rsid w:val="00A67BE6"/>
    <w:rsid w:val="00A703AB"/>
    <w:rsid w:val="00A83C46"/>
    <w:rsid w:val="00A85C8A"/>
    <w:rsid w:val="00A91D78"/>
    <w:rsid w:val="00A931C8"/>
    <w:rsid w:val="00A954B5"/>
    <w:rsid w:val="00AA3C16"/>
    <w:rsid w:val="00AA4742"/>
    <w:rsid w:val="00AA51C4"/>
    <w:rsid w:val="00AC432F"/>
    <w:rsid w:val="00AD2FD9"/>
    <w:rsid w:val="00AD3D48"/>
    <w:rsid w:val="00AD7CE1"/>
    <w:rsid w:val="00AE28D1"/>
    <w:rsid w:val="00AE354C"/>
    <w:rsid w:val="00AE3E7A"/>
    <w:rsid w:val="00AE483E"/>
    <w:rsid w:val="00AF1556"/>
    <w:rsid w:val="00B05227"/>
    <w:rsid w:val="00B052A0"/>
    <w:rsid w:val="00B14CC4"/>
    <w:rsid w:val="00B264DA"/>
    <w:rsid w:val="00B33E7A"/>
    <w:rsid w:val="00B36CDE"/>
    <w:rsid w:val="00B46038"/>
    <w:rsid w:val="00B50417"/>
    <w:rsid w:val="00B55468"/>
    <w:rsid w:val="00B55A8A"/>
    <w:rsid w:val="00B62226"/>
    <w:rsid w:val="00B75B04"/>
    <w:rsid w:val="00B75CEE"/>
    <w:rsid w:val="00B92821"/>
    <w:rsid w:val="00B96164"/>
    <w:rsid w:val="00BB52C2"/>
    <w:rsid w:val="00BB5783"/>
    <w:rsid w:val="00BC04B7"/>
    <w:rsid w:val="00BD4741"/>
    <w:rsid w:val="00BD490B"/>
    <w:rsid w:val="00BD56C0"/>
    <w:rsid w:val="00BE0194"/>
    <w:rsid w:val="00BE645A"/>
    <w:rsid w:val="00BF4612"/>
    <w:rsid w:val="00BF7377"/>
    <w:rsid w:val="00C02501"/>
    <w:rsid w:val="00C046BF"/>
    <w:rsid w:val="00C1340D"/>
    <w:rsid w:val="00C24CF2"/>
    <w:rsid w:val="00C2780A"/>
    <w:rsid w:val="00C363E6"/>
    <w:rsid w:val="00C42FD4"/>
    <w:rsid w:val="00C47111"/>
    <w:rsid w:val="00C5357A"/>
    <w:rsid w:val="00C77236"/>
    <w:rsid w:val="00C80F66"/>
    <w:rsid w:val="00C8179E"/>
    <w:rsid w:val="00C817B3"/>
    <w:rsid w:val="00C81A99"/>
    <w:rsid w:val="00CA23AE"/>
    <w:rsid w:val="00CA2E3B"/>
    <w:rsid w:val="00CC1B07"/>
    <w:rsid w:val="00CC5910"/>
    <w:rsid w:val="00CC5E46"/>
    <w:rsid w:val="00CC6225"/>
    <w:rsid w:val="00CC7EB8"/>
    <w:rsid w:val="00CD2AA5"/>
    <w:rsid w:val="00CD2EBB"/>
    <w:rsid w:val="00CD4884"/>
    <w:rsid w:val="00CE669E"/>
    <w:rsid w:val="00CF382C"/>
    <w:rsid w:val="00CF76F9"/>
    <w:rsid w:val="00D02F41"/>
    <w:rsid w:val="00D137F0"/>
    <w:rsid w:val="00D13B0C"/>
    <w:rsid w:val="00D222C4"/>
    <w:rsid w:val="00D30DD3"/>
    <w:rsid w:val="00D4270B"/>
    <w:rsid w:val="00D43A81"/>
    <w:rsid w:val="00D46055"/>
    <w:rsid w:val="00D470D6"/>
    <w:rsid w:val="00D472B1"/>
    <w:rsid w:val="00D5137F"/>
    <w:rsid w:val="00D65284"/>
    <w:rsid w:val="00D7491D"/>
    <w:rsid w:val="00D7586B"/>
    <w:rsid w:val="00D758AE"/>
    <w:rsid w:val="00D773EE"/>
    <w:rsid w:val="00D83ECA"/>
    <w:rsid w:val="00D96883"/>
    <w:rsid w:val="00DA0D41"/>
    <w:rsid w:val="00DA255B"/>
    <w:rsid w:val="00DB6DA7"/>
    <w:rsid w:val="00DC2B5C"/>
    <w:rsid w:val="00DC2FE9"/>
    <w:rsid w:val="00DC30F0"/>
    <w:rsid w:val="00DC719E"/>
    <w:rsid w:val="00DD6D15"/>
    <w:rsid w:val="00DE7C87"/>
    <w:rsid w:val="00DF62FB"/>
    <w:rsid w:val="00DF7B11"/>
    <w:rsid w:val="00E01857"/>
    <w:rsid w:val="00E044DD"/>
    <w:rsid w:val="00E110F4"/>
    <w:rsid w:val="00E14251"/>
    <w:rsid w:val="00E153A4"/>
    <w:rsid w:val="00E1666C"/>
    <w:rsid w:val="00E22A16"/>
    <w:rsid w:val="00E27B04"/>
    <w:rsid w:val="00E3162C"/>
    <w:rsid w:val="00E423D8"/>
    <w:rsid w:val="00E460DA"/>
    <w:rsid w:val="00E50705"/>
    <w:rsid w:val="00E51556"/>
    <w:rsid w:val="00E674E0"/>
    <w:rsid w:val="00E7623C"/>
    <w:rsid w:val="00EA1F4F"/>
    <w:rsid w:val="00EB670C"/>
    <w:rsid w:val="00EB72B9"/>
    <w:rsid w:val="00EC7B28"/>
    <w:rsid w:val="00ED3B3E"/>
    <w:rsid w:val="00EE1056"/>
    <w:rsid w:val="00F0085F"/>
    <w:rsid w:val="00F078BB"/>
    <w:rsid w:val="00F07E17"/>
    <w:rsid w:val="00F24556"/>
    <w:rsid w:val="00F25A35"/>
    <w:rsid w:val="00F32651"/>
    <w:rsid w:val="00F63400"/>
    <w:rsid w:val="00F67064"/>
    <w:rsid w:val="00F76FF3"/>
    <w:rsid w:val="00F776CF"/>
    <w:rsid w:val="00FA1639"/>
    <w:rsid w:val="00FA48BF"/>
    <w:rsid w:val="00FB389B"/>
    <w:rsid w:val="00FB745D"/>
    <w:rsid w:val="00FB782D"/>
    <w:rsid w:val="00FD052D"/>
    <w:rsid w:val="00FD0AD7"/>
    <w:rsid w:val="00FD344F"/>
    <w:rsid w:val="00FF3135"/>
    <w:rsid w:val="00FF544C"/>
    <w:rsid w:val="00FF774F"/>
    <w:rsid w:val="04950CCB"/>
    <w:rsid w:val="056C6651"/>
    <w:rsid w:val="13B5054B"/>
    <w:rsid w:val="13FA781C"/>
    <w:rsid w:val="1F0976A9"/>
    <w:rsid w:val="29311D68"/>
    <w:rsid w:val="2FAF0B0D"/>
    <w:rsid w:val="3B0625BF"/>
    <w:rsid w:val="3DB41EBB"/>
    <w:rsid w:val="43A44E02"/>
    <w:rsid w:val="5DA92685"/>
    <w:rsid w:val="607B0930"/>
    <w:rsid w:val="64BC4DC7"/>
    <w:rsid w:val="7698783B"/>
    <w:rsid w:val="7F8C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3"/>
    <w:next w:val="4"/>
    <w:qFormat/>
    <w:uiPriority w:val="0"/>
    <w:pPr>
      <w:numPr>
        <w:ilvl w:val="0"/>
        <w:numId w:val="1"/>
      </w:num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paragraph" w:styleId="5">
    <w:name w:val="heading 2"/>
    <w:basedOn w:val="3"/>
    <w:next w:val="4"/>
    <w:qFormat/>
    <w:uiPriority w:val="0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1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4">
    <w:name w:val="Body Text"/>
    <w:basedOn w:val="1"/>
    <w:qFormat/>
    <w:uiPriority w:val="0"/>
    <w:pPr>
      <w:spacing w:after="140" w:line="276" w:lineRule="auto"/>
    </w:pPr>
  </w:style>
  <w:style w:type="character" w:styleId="8">
    <w:name w:val="page number"/>
    <w:qFormat/>
    <w:uiPriority w:val="0"/>
    <w:rPr>
      <w:rFonts w:cs="Times New Roman"/>
    </w:rPr>
  </w:style>
  <w:style w:type="paragraph" w:styleId="9">
    <w:name w:val="Balloon Text"/>
    <w:basedOn w:val="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1"/>
    <w:next w:val="1"/>
    <w:semiHidden/>
    <w:unhideWhenUsed/>
    <w:qFormat/>
    <w:uiPriority w:val="99"/>
  </w:style>
  <w:style w:type="paragraph" w:styleId="12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index heading"/>
    <w:basedOn w:val="1"/>
    <w:next w:val="11"/>
    <w:qFormat/>
    <w:uiPriority w:val="0"/>
    <w:pPr>
      <w:suppressLineNumbers/>
    </w:pPr>
    <w:rPr>
      <w:rFonts w:cs="Mangal"/>
    </w:rPr>
  </w:style>
  <w:style w:type="paragraph" w:styleId="14">
    <w:name w:val="footer"/>
    <w:basedOn w:val="1"/>
    <w:unhideWhenUsed/>
    <w:qFormat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paragraph" w:styleId="15">
    <w:name w:val="List"/>
    <w:basedOn w:val="4"/>
    <w:qFormat/>
    <w:uiPriority w:val="0"/>
    <w:rPr>
      <w:rFonts w:cs="Mangal"/>
    </w:rPr>
  </w:style>
  <w:style w:type="table" w:styleId="16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Текст выноски Знак"/>
    <w:basedOn w:val="6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character" w:customStyle="1" w:styleId="18">
    <w:name w:val="Нижний колонтитул Знак"/>
    <w:basedOn w:val="6"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19">
    <w:name w:val="Верхний колонтитул Знак"/>
    <w:basedOn w:val="6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0">
    <w:name w:val="blk"/>
    <w:basedOn w:val="6"/>
    <w:qFormat/>
    <w:uiPriority w:val="0"/>
  </w:style>
  <w:style w:type="character" w:customStyle="1" w:styleId="21">
    <w:name w:val="Выделение1"/>
    <w:basedOn w:val="6"/>
    <w:qFormat/>
    <w:uiPriority w:val="20"/>
    <w:rPr>
      <w:i/>
      <w:iCs/>
    </w:rPr>
  </w:style>
  <w:style w:type="paragraph" w:customStyle="1" w:styleId="22">
    <w:name w:val="Верхний и нижний колонтитулы"/>
    <w:basedOn w:val="1"/>
    <w:qFormat/>
    <w:uiPriority w:val="0"/>
  </w:style>
  <w:style w:type="paragraph" w:customStyle="1" w:styleId="23">
    <w:name w:val="Указатель1"/>
    <w:basedOn w:val="1"/>
    <w:qFormat/>
    <w:uiPriority w:val="0"/>
    <w:pPr>
      <w:suppressLineNumbers/>
    </w:pPr>
    <w:rPr>
      <w:rFonts w:cs="Mangal"/>
    </w:rPr>
  </w:style>
  <w:style w:type="paragraph" w:customStyle="1" w:styleId="24">
    <w:name w:val="ConsPlusCell"/>
    <w:qFormat/>
    <w:uiPriority w:val="0"/>
    <w:pPr>
      <w:widowControl w:val="0"/>
      <w:suppressAutoHyphens/>
    </w:pPr>
    <w:rPr>
      <w:rFonts w:cs="Calibri" w:asciiTheme="minorHAnsi" w:hAnsiTheme="minorHAnsi" w:eastAsiaTheme="minorHAnsi"/>
      <w:sz w:val="22"/>
      <w:szCs w:val="22"/>
      <w:lang w:val="ru-RU" w:eastAsia="ru-RU" w:bidi="ar-SA"/>
    </w:rPr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paragraph" w:customStyle="1" w:styleId="26">
    <w:name w:val="ConsPlusTitle"/>
    <w:qFormat/>
    <w:uiPriority w:val="0"/>
    <w:pPr>
      <w:widowControl w:val="0"/>
      <w:suppressAutoHyphens/>
    </w:pPr>
    <w:rPr>
      <w:rFonts w:cs="Calibri" w:asciiTheme="minorHAnsi" w:hAnsiTheme="minorHAnsi" w:eastAsiaTheme="minorHAnsi"/>
      <w:b/>
      <w:sz w:val="22"/>
      <w:szCs w:val="22"/>
      <w:lang w:val="ar-SA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D91D2-8E0D-471A-88E8-044EA09931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14</Pages>
  <Words>6663</Words>
  <Characters>37983</Characters>
  <Lines>316</Lines>
  <Paragraphs>89</Paragraphs>
  <TotalTime>2</TotalTime>
  <ScaleCrop>false</ScaleCrop>
  <LinksUpToDate>false</LinksUpToDate>
  <CharactersWithSpaces>44557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2023-09-08T09:33:00Z</dcterms:created>
  <dc:creator>Орлова Ольга Николаевна</dc:creator>
  <cp:lastModifiedBy>OrlovaON</cp:lastModifiedBy>
  <cp:lastPrinted>2023-12-18T12:20:00Z</cp:lastPrinted>
  <dcterms:modified xsi:type="dcterms:W3CDTF">2023-12-18T13:16:10Z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1049-12.2.0.13359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